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28"/>
          <w:szCs w:val="28"/>
        </w:rPr>
      </w:pPr>
      <w:bookmarkStart w:id="0" w:name="_Hlk32949940"/>
      <w:bookmarkEnd w:id="0"/>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textAlignment w:val="center"/>
        <w:rPr>
          <w:rFonts w:ascii="宋体" w:hAnsi="宋体"/>
          <w:sz w:val="36"/>
          <w:szCs w:val="36"/>
        </w:rPr>
      </w:pPr>
      <w:r>
        <w:rPr>
          <w:rFonts w:ascii="宋体" w:hAnsi="宋体"/>
          <w:sz w:val="36"/>
          <w:szCs w:val="36"/>
        </w:rPr>
        <w:drawing>
          <wp:inline distT="0" distB="0" distL="0" distR="0">
            <wp:extent cx="678180" cy="693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78180" cy="693420"/>
                    </a:xfrm>
                    <a:prstGeom prst="rect">
                      <a:avLst/>
                    </a:prstGeom>
                    <a:noFill/>
                    <a:ln>
                      <a:noFill/>
                    </a:ln>
                  </pic:spPr>
                </pic:pic>
              </a:graphicData>
            </a:graphic>
          </wp:inline>
        </w:drawing>
      </w:r>
      <w:bookmarkStart w:id="1" w:name="_Toc534901950"/>
      <w:r>
        <w:rPr>
          <w:rFonts w:hint="eastAsia" w:ascii="黑体" w:hAnsi="黑体" w:eastAsia="黑体" w:cs="黑体"/>
          <w:sz w:val="36"/>
          <w:szCs w:val="36"/>
        </w:rPr>
        <w:t>安徽皖能环保发电有限公司</w:t>
      </w:r>
      <w:bookmarkEnd w:id="1"/>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楷体" w:hAnsi="楷体" w:eastAsia="楷体" w:cs="黑体"/>
          <w:b/>
          <w:bCs/>
          <w:sz w:val="84"/>
          <w:szCs w:val="84"/>
        </w:rPr>
      </w:pPr>
      <w:r>
        <w:rPr>
          <w:rFonts w:hint="eastAsia" w:ascii="楷体" w:hAnsi="楷体" w:eastAsia="楷体" w:cs="黑体"/>
          <w:b/>
          <w:bCs/>
          <w:sz w:val="84"/>
          <w:szCs w:val="84"/>
        </w:rPr>
        <w:t>20</w:t>
      </w:r>
      <w:r>
        <w:rPr>
          <w:rFonts w:hint="eastAsia" w:ascii="楷体" w:hAnsi="楷体" w:eastAsia="楷体" w:cs="黑体"/>
          <w:b/>
          <w:bCs/>
          <w:sz w:val="84"/>
          <w:szCs w:val="84"/>
          <w:lang w:val="en-US" w:eastAsia="zh-CN"/>
        </w:rPr>
        <w:t>21</w:t>
      </w:r>
      <w:r>
        <w:rPr>
          <w:rFonts w:hint="eastAsia" w:ascii="楷体" w:hAnsi="楷体" w:eastAsia="楷体" w:cs="黑体"/>
          <w:b/>
          <w:bCs/>
          <w:sz w:val="84"/>
          <w:szCs w:val="84"/>
        </w:rPr>
        <w:t>年社会责任报告</w:t>
      </w: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p>
    <w:p>
      <w:pPr>
        <w:jc w:val="center"/>
        <w:rPr>
          <w:rFonts w:ascii="Times New Roman" w:hAnsi="Times New Roman" w:eastAsia="黑体"/>
          <w:sz w:val="36"/>
          <w:szCs w:val="36"/>
        </w:rPr>
      </w:pPr>
      <w:r>
        <w:rPr>
          <w:rFonts w:hint="eastAsia" w:ascii="Times New Roman" w:hAnsi="Times New Roman" w:eastAsia="黑体"/>
          <w:sz w:val="36"/>
          <w:szCs w:val="36"/>
        </w:rPr>
        <w:t>二〇二</w:t>
      </w:r>
      <w:r>
        <w:rPr>
          <w:rFonts w:hint="eastAsia" w:ascii="Times New Roman" w:hAnsi="Times New Roman" w:eastAsia="黑体"/>
          <w:sz w:val="36"/>
          <w:szCs w:val="36"/>
          <w:lang w:eastAsia="zh-CN"/>
        </w:rPr>
        <w:t>二</w:t>
      </w:r>
      <w:r>
        <w:rPr>
          <w:rFonts w:ascii="Times New Roman" w:hAnsi="Times New Roman" w:eastAsia="黑体"/>
          <w:sz w:val="36"/>
          <w:szCs w:val="36"/>
        </w:rPr>
        <w:t>年</w:t>
      </w:r>
      <w:r>
        <w:rPr>
          <w:rFonts w:hint="eastAsia" w:ascii="Times New Roman" w:hAnsi="Times New Roman" w:eastAsia="黑体"/>
          <w:sz w:val="36"/>
          <w:szCs w:val="36"/>
          <w:lang w:eastAsia="zh-CN"/>
        </w:rPr>
        <w:t>二</w:t>
      </w:r>
      <w:r>
        <w:rPr>
          <w:rFonts w:ascii="Times New Roman" w:hAnsi="Times New Roman" w:eastAsia="黑体"/>
          <w:sz w:val="36"/>
          <w:szCs w:val="36"/>
        </w:rPr>
        <w:t>月</w:t>
      </w:r>
    </w:p>
    <w:p>
      <w:pPr>
        <w:jc w:val="center"/>
        <w:sectPr>
          <w:pgSz w:w="11906" w:h="16838"/>
          <w:pgMar w:top="1440" w:right="1800" w:bottom="1440" w:left="1800" w:header="851" w:footer="992" w:gutter="0"/>
          <w:pgNumType w:start="1"/>
          <w:cols w:space="425" w:num="1"/>
          <w:docGrid w:linePitch="312" w:charSpace="0"/>
        </w:sectPr>
      </w:pPr>
    </w:p>
    <w:p>
      <w:pPr>
        <w:autoSpaceDE w:val="0"/>
        <w:autoSpaceDN w:val="0"/>
        <w:spacing w:line="360" w:lineRule="auto"/>
        <w:jc w:val="left"/>
        <w:rPr>
          <w:rFonts w:ascii="黑体" w:hAnsi="黑体" w:eastAsia="黑体" w:cs="黑体"/>
          <w:bCs/>
          <w:kern w:val="0"/>
          <w:sz w:val="28"/>
          <w:szCs w:val="28"/>
        </w:rPr>
      </w:pPr>
    </w:p>
    <w:p>
      <w:pPr>
        <w:autoSpaceDE w:val="0"/>
        <w:autoSpaceDN w:val="0"/>
        <w:spacing w:line="360" w:lineRule="auto"/>
        <w:jc w:val="left"/>
        <w:rPr>
          <w:rFonts w:ascii="黑体" w:hAnsi="黑体" w:eastAsia="黑体" w:cs="黑体"/>
          <w:bCs/>
          <w:kern w:val="0"/>
          <w:sz w:val="28"/>
          <w:szCs w:val="28"/>
        </w:rPr>
      </w:pPr>
    </w:p>
    <w:p>
      <w:pPr>
        <w:autoSpaceDE w:val="0"/>
        <w:autoSpaceDN w:val="0"/>
        <w:spacing w:line="360" w:lineRule="auto"/>
        <w:jc w:val="left"/>
        <w:rPr>
          <w:rFonts w:ascii="黑体" w:hAnsi="黑体" w:eastAsia="黑体" w:cs="黑体"/>
          <w:bCs/>
          <w:kern w:val="0"/>
          <w:sz w:val="28"/>
          <w:szCs w:val="28"/>
        </w:rPr>
      </w:pPr>
    </w:p>
    <w:p>
      <w:pPr>
        <w:autoSpaceDE w:val="0"/>
        <w:autoSpaceDN w:val="0"/>
        <w:spacing w:line="360" w:lineRule="auto"/>
        <w:jc w:val="left"/>
        <w:rPr>
          <w:rFonts w:ascii="黑体" w:hAnsi="黑体" w:eastAsia="黑体" w:cs="黑体"/>
          <w:bCs/>
          <w:kern w:val="0"/>
          <w:sz w:val="28"/>
          <w:szCs w:val="28"/>
        </w:rPr>
      </w:pPr>
    </w:p>
    <w:p>
      <w:pPr>
        <w:autoSpaceDE w:val="0"/>
        <w:autoSpaceDN w:val="0"/>
        <w:spacing w:line="360" w:lineRule="auto"/>
        <w:ind w:firstLine="560" w:firstLineChars="200"/>
        <w:rPr>
          <w:rFonts w:ascii="黑体" w:hAnsi="黑体" w:eastAsia="黑体" w:cs="黑体"/>
          <w:bCs/>
          <w:kern w:val="0"/>
          <w:sz w:val="28"/>
          <w:szCs w:val="28"/>
        </w:rPr>
      </w:pPr>
      <w:r>
        <w:rPr>
          <w:rFonts w:hint="eastAsia" w:ascii="黑体" w:hAnsi="黑体" w:eastAsia="黑体" w:cs="黑体"/>
          <w:bCs/>
          <w:kern w:val="0"/>
          <w:sz w:val="28"/>
          <w:szCs w:val="28"/>
        </w:rPr>
        <w:t>本报告披露了安徽皖能环保发电有限公司</w:t>
      </w:r>
      <w:r>
        <w:rPr>
          <w:rFonts w:ascii="黑体" w:hAnsi="黑体" w:eastAsia="黑体" w:cs="黑体"/>
          <w:bCs/>
          <w:kern w:val="0"/>
          <w:sz w:val="28"/>
          <w:szCs w:val="28"/>
        </w:rPr>
        <w:t>20</w:t>
      </w:r>
      <w:r>
        <w:rPr>
          <w:rFonts w:hint="eastAsia" w:ascii="黑体" w:hAnsi="黑体" w:eastAsia="黑体" w:cs="黑体"/>
          <w:bCs/>
          <w:kern w:val="0"/>
          <w:sz w:val="28"/>
          <w:szCs w:val="28"/>
          <w:lang w:val="en-US" w:eastAsia="zh-CN"/>
        </w:rPr>
        <w:t>21</w:t>
      </w:r>
      <w:r>
        <w:rPr>
          <w:rFonts w:hint="eastAsia" w:ascii="黑体" w:hAnsi="黑体" w:eastAsia="黑体" w:cs="黑体"/>
          <w:bCs/>
          <w:kern w:val="0"/>
          <w:sz w:val="28"/>
          <w:szCs w:val="28"/>
        </w:rPr>
        <w:t>年履行社会责任，推进可持续发展，创造财富、回报社会、成就员工，追求经济、社会、环境综合价值最大化的理念、实践、绩效和</w:t>
      </w:r>
      <w:r>
        <w:rPr>
          <w:rFonts w:ascii="黑体" w:hAnsi="黑体" w:eastAsia="黑体" w:cs="黑体"/>
          <w:bCs/>
          <w:kern w:val="0"/>
          <w:sz w:val="28"/>
          <w:szCs w:val="28"/>
        </w:rPr>
        <w:t>20</w:t>
      </w:r>
      <w:r>
        <w:rPr>
          <w:rFonts w:hint="eastAsia" w:ascii="黑体" w:hAnsi="黑体" w:eastAsia="黑体" w:cs="黑体"/>
          <w:bCs/>
          <w:kern w:val="0"/>
          <w:sz w:val="28"/>
          <w:szCs w:val="28"/>
          <w:lang w:val="en-US" w:eastAsia="zh-CN"/>
        </w:rPr>
        <w:t>22</w:t>
      </w:r>
      <w:r>
        <w:rPr>
          <w:rFonts w:hint="eastAsia" w:ascii="黑体" w:hAnsi="黑体" w:eastAsia="黑体" w:cs="黑体"/>
          <w:bCs/>
          <w:kern w:val="0"/>
          <w:sz w:val="28"/>
          <w:szCs w:val="28"/>
        </w:rPr>
        <w:t>年展望。</w:t>
      </w:r>
    </w:p>
    <w:p>
      <w:pPr>
        <w:spacing w:line="360" w:lineRule="auto"/>
        <w:ind w:firstLine="560" w:firstLineChars="200"/>
        <w:rPr>
          <w:rFonts w:ascii="仿宋" w:hAnsi="宋体" w:eastAsia="仿宋"/>
          <w:bCs/>
          <w:sz w:val="28"/>
          <w:szCs w:val="28"/>
        </w:rPr>
      </w:pPr>
    </w:p>
    <w:p/>
    <w:p>
      <w:pPr>
        <w:sectPr>
          <w:pgSz w:w="11906" w:h="16838"/>
          <w:pgMar w:top="1440" w:right="1800" w:bottom="1440" w:left="1800" w:header="851" w:footer="992" w:gutter="0"/>
          <w:pgNumType w:start="1"/>
          <w:cols w:space="425" w:num="1"/>
          <w:docGrid w:linePitch="312" w:charSpace="0"/>
        </w:sectPr>
      </w:pPr>
    </w:p>
    <w:p>
      <w:pPr>
        <w:spacing w:before="240" w:beforeLines="100" w:after="240" w:afterLines="100"/>
        <w:jc w:val="center"/>
        <w:rPr>
          <w:rFonts w:ascii="Times New Roman" w:hAnsi="Times New Roman" w:eastAsia="黑体"/>
          <w:sz w:val="36"/>
          <w:szCs w:val="36"/>
        </w:rPr>
      </w:pPr>
      <w:r>
        <w:rPr>
          <w:rFonts w:hint="eastAsia" w:ascii="Times New Roman" w:hAnsi="Times New Roman" w:eastAsia="黑体"/>
          <w:sz w:val="36"/>
          <w:szCs w:val="36"/>
        </w:rPr>
        <w:t>目</w:t>
      </w:r>
      <w:r>
        <w:rPr>
          <w:rFonts w:ascii="Times New Roman" w:hAnsi="Times New Roman" w:eastAsia="黑体"/>
          <w:sz w:val="36"/>
          <w:szCs w:val="36"/>
        </w:rPr>
        <w:t xml:space="preserve">  </w:t>
      </w:r>
      <w:r>
        <w:rPr>
          <w:rFonts w:hint="eastAsia" w:ascii="Times New Roman" w:hAnsi="Times New Roman" w:eastAsia="黑体"/>
          <w:sz w:val="36"/>
          <w:szCs w:val="36"/>
        </w:rPr>
        <w:t>录</w:t>
      </w:r>
    </w:p>
    <w:p>
      <w:pPr>
        <w:pStyle w:val="17"/>
        <w:tabs>
          <w:tab w:val="right" w:leader="dot" w:pos="8296"/>
        </w:tabs>
        <w:rPr>
          <w:rFonts w:asciiTheme="minorHAnsi" w:hAnsiTheme="minorHAnsi" w:eastAsiaTheme="minorEastAsia" w:cstheme="minorBidi"/>
          <w:sz w:val="21"/>
        </w:rPr>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"_Toc33176281" </w:instrText>
      </w:r>
      <w:r>
        <w:fldChar w:fldCharType="separate"/>
      </w:r>
      <w:r>
        <w:rPr>
          <w:rStyle w:val="25"/>
        </w:rPr>
        <w:t>关于本报告说明</w:t>
      </w:r>
      <w:r>
        <w:tab/>
      </w:r>
      <w:r>
        <w:fldChar w:fldCharType="begin"/>
      </w:r>
      <w:r>
        <w:instrText xml:space="preserve"> PAGEREF _Toc33176281 \h </w:instrText>
      </w:r>
      <w:r>
        <w:fldChar w:fldCharType="separate"/>
      </w:r>
      <w:r>
        <w:t>1</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"_Toc33176282" </w:instrText>
      </w:r>
      <w:r>
        <w:fldChar w:fldCharType="separate"/>
      </w:r>
      <w:r>
        <w:rPr>
          <w:rStyle w:val="25"/>
        </w:rPr>
        <w:t>公司简介</w:t>
      </w:r>
      <w:r>
        <w:tab/>
      </w:r>
      <w:r>
        <w:fldChar w:fldCharType="begin"/>
      </w:r>
      <w:r>
        <w:instrText xml:space="preserve"> PAGEREF _Toc33176282 \h </w:instrText>
      </w:r>
      <w:r>
        <w:fldChar w:fldCharType="separate"/>
      </w:r>
      <w:r>
        <w:t>2</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"_Toc33176283" </w:instrText>
      </w:r>
      <w:r>
        <w:fldChar w:fldCharType="separate"/>
      </w:r>
      <w:r>
        <w:rPr>
          <w:rStyle w:val="25"/>
        </w:rPr>
        <w:t>一、创新发展</w:t>
      </w:r>
      <w:r>
        <w:tab/>
      </w:r>
      <w:r>
        <w:fldChar w:fldCharType="begin"/>
      </w:r>
      <w:r>
        <w:instrText xml:space="preserve"> PAGEREF _Toc33176283 \h </w:instrText>
      </w:r>
      <w:r>
        <w:fldChar w:fldCharType="separate"/>
      </w:r>
      <w:r>
        <w:t>5</w:t>
      </w:r>
      <w:r>
        <w:fldChar w:fldCharType="end"/>
      </w:r>
      <w:r>
        <w:fldChar w:fldCharType="end"/>
      </w:r>
    </w:p>
    <w:p>
      <w:pPr>
        <w:pStyle w:val="19"/>
        <w:tabs>
          <w:tab w:val="right" w:leader="dot" w:pos="8296"/>
        </w:tabs>
        <w:ind w:left="420"/>
        <w:rPr>
          <w:rFonts w:asciiTheme="minorHAnsi" w:hAnsiTheme="minorHAnsi" w:eastAsiaTheme="minorEastAsia" w:cstheme="minorBidi"/>
          <w:sz w:val="21"/>
        </w:rPr>
      </w:pPr>
      <w:r>
        <w:fldChar w:fldCharType="begin"/>
      </w:r>
      <w:r>
        <w:instrText xml:space="preserve"> HYPERLINK \l "_Toc33176284" </w:instrText>
      </w:r>
      <w:r>
        <w:fldChar w:fldCharType="separate"/>
      </w:r>
      <w:r>
        <w:rPr>
          <w:rStyle w:val="25"/>
        </w:rPr>
        <w:t>（一）科技创新实践与成效</w:t>
      </w:r>
      <w:r>
        <w:tab/>
      </w:r>
      <w:r>
        <w:fldChar w:fldCharType="begin"/>
      </w:r>
      <w:r>
        <w:instrText xml:space="preserve"> PAGEREF _Toc33176284 \h </w:instrText>
      </w:r>
      <w:r>
        <w:fldChar w:fldCharType="separate"/>
      </w:r>
      <w:r>
        <w:t>5</w:t>
      </w:r>
      <w:r>
        <w:fldChar w:fldCharType="end"/>
      </w:r>
      <w:r>
        <w:fldChar w:fldCharType="end"/>
      </w:r>
    </w:p>
    <w:p>
      <w:pPr>
        <w:pStyle w:val="19"/>
        <w:tabs>
          <w:tab w:val="right" w:leader="dot" w:pos="8296"/>
        </w:tabs>
        <w:ind w:left="420"/>
        <w:rPr>
          <w:rFonts w:asciiTheme="minorHAnsi" w:hAnsiTheme="minorHAnsi" w:eastAsiaTheme="minorEastAsia" w:cstheme="minorBidi"/>
          <w:sz w:val="21"/>
        </w:rPr>
      </w:pPr>
      <w:r>
        <w:fldChar w:fldCharType="begin"/>
      </w:r>
      <w:r>
        <w:instrText xml:space="preserve"> HYPERLINK \l "_Toc33176285" </w:instrText>
      </w:r>
      <w:r>
        <w:fldChar w:fldCharType="separate"/>
      </w:r>
      <w:r>
        <w:rPr>
          <w:rStyle w:val="25"/>
        </w:rPr>
        <w:t>（二）改革创新实践与成效</w:t>
      </w:r>
      <w:r>
        <w:tab/>
      </w:r>
      <w:r>
        <w:fldChar w:fldCharType="begin"/>
      </w:r>
      <w:r>
        <w:instrText xml:space="preserve"> PAGEREF _Toc33176285 \h </w:instrText>
      </w:r>
      <w:r>
        <w:fldChar w:fldCharType="separate"/>
      </w:r>
      <w:r>
        <w:t>7</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"_Toc33176287" </w:instrText>
      </w:r>
      <w:r>
        <w:fldChar w:fldCharType="separate"/>
      </w:r>
      <w:r>
        <w:rPr>
          <w:rStyle w:val="25"/>
        </w:rPr>
        <w:t>二、协调发展</w:t>
      </w:r>
      <w:r>
        <w:tab/>
      </w:r>
      <w:r>
        <w:fldChar w:fldCharType="begin"/>
      </w:r>
      <w:r>
        <w:instrText xml:space="preserve"> PAGEREF _Toc33176287 \h </w:instrText>
      </w:r>
      <w:r>
        <w:fldChar w:fldCharType="separate"/>
      </w:r>
      <w:r>
        <w:t>12</w:t>
      </w:r>
      <w:r>
        <w:fldChar w:fldCharType="end"/>
      </w:r>
      <w:r>
        <w:fldChar w:fldCharType="end"/>
      </w:r>
    </w:p>
    <w:p>
      <w:pPr>
        <w:pStyle w:val="19"/>
        <w:tabs>
          <w:tab w:val="right" w:leader="dot" w:pos="8296"/>
        </w:tabs>
        <w:ind w:left="420"/>
        <w:rPr>
          <w:rFonts w:asciiTheme="minorHAnsi" w:hAnsiTheme="minorHAnsi" w:eastAsiaTheme="minorEastAsia" w:cstheme="minorBidi"/>
          <w:sz w:val="21"/>
        </w:rPr>
      </w:pPr>
      <w:r>
        <w:fldChar w:fldCharType="begin"/>
      </w:r>
      <w:r>
        <w:instrText xml:space="preserve"> HYPERLINK \l "_Toc33176288" </w:instrText>
      </w:r>
      <w:r>
        <w:fldChar w:fldCharType="separate"/>
      </w:r>
      <w:r>
        <w:rPr>
          <w:rStyle w:val="25"/>
        </w:rPr>
        <w:t>（一）诚信经营</w:t>
      </w:r>
      <w:r>
        <w:tab/>
      </w:r>
      <w:r>
        <w:fldChar w:fldCharType="begin"/>
      </w:r>
      <w:r>
        <w:instrText xml:space="preserve"> PAGEREF _Toc33176288 \h </w:instrText>
      </w:r>
      <w:r>
        <w:fldChar w:fldCharType="separate"/>
      </w:r>
      <w:r>
        <w:t>12</w:t>
      </w:r>
      <w:r>
        <w:fldChar w:fldCharType="end"/>
      </w:r>
      <w:r>
        <w:fldChar w:fldCharType="end"/>
      </w:r>
    </w:p>
    <w:p>
      <w:pPr>
        <w:pStyle w:val="19"/>
        <w:tabs>
          <w:tab w:val="right" w:leader="dot" w:pos="8296"/>
        </w:tabs>
        <w:ind w:left="420"/>
        <w:rPr>
          <w:rFonts w:asciiTheme="minorHAnsi" w:hAnsiTheme="minorHAnsi" w:eastAsiaTheme="minorEastAsia" w:cstheme="minorBidi"/>
          <w:sz w:val="21"/>
        </w:rPr>
      </w:pPr>
      <w:r>
        <w:fldChar w:fldCharType="begin"/>
      </w:r>
      <w:r>
        <w:instrText xml:space="preserve"> HYPERLINK \l "_Toc33176289" </w:instrText>
      </w:r>
      <w:r>
        <w:fldChar w:fldCharType="separate"/>
      </w:r>
      <w:r>
        <w:rPr>
          <w:rStyle w:val="25"/>
        </w:rPr>
        <w:t>（二）</w:t>
      </w:r>
      <w:r>
        <w:rPr>
          <w:rStyle w:val="25"/>
          <w:shd w:val="clear" w:color="auto" w:fill="FFFFFF"/>
        </w:rPr>
        <w:t>责任经营</w:t>
      </w:r>
      <w:r>
        <w:tab/>
      </w:r>
      <w:r>
        <w:fldChar w:fldCharType="begin"/>
      </w:r>
      <w:r>
        <w:instrText xml:space="preserve"> PAGEREF _Toc33176289 \h </w:instrText>
      </w:r>
      <w:r>
        <w:fldChar w:fldCharType="separate"/>
      </w:r>
      <w:r>
        <w:t>12</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"_Toc33176290" </w:instrText>
      </w:r>
      <w:r>
        <w:fldChar w:fldCharType="separate"/>
      </w:r>
      <w:r>
        <w:rPr>
          <w:rStyle w:val="25"/>
        </w:rPr>
        <w:t>三、和谐发展</w:t>
      </w:r>
      <w:r>
        <w:tab/>
      </w:r>
      <w:r>
        <w:fldChar w:fldCharType="begin"/>
      </w:r>
      <w:r>
        <w:instrText xml:space="preserve"> PAGEREF _Toc33176290 \h </w:instrText>
      </w:r>
      <w:r>
        <w:fldChar w:fldCharType="separate"/>
      </w:r>
      <w:r>
        <w:t>17</w:t>
      </w:r>
      <w:r>
        <w:fldChar w:fldCharType="end"/>
      </w:r>
      <w:r>
        <w:fldChar w:fldCharType="end"/>
      </w:r>
    </w:p>
    <w:p>
      <w:pPr>
        <w:pStyle w:val="19"/>
        <w:tabs>
          <w:tab w:val="right" w:leader="dot" w:pos="8296"/>
        </w:tabs>
        <w:ind w:left="420"/>
        <w:rPr>
          <w:rFonts w:asciiTheme="minorHAnsi" w:hAnsiTheme="minorHAnsi" w:eastAsiaTheme="minorEastAsia" w:cstheme="minorBidi"/>
          <w:sz w:val="21"/>
        </w:rPr>
      </w:pPr>
      <w:r>
        <w:fldChar w:fldCharType="begin"/>
      </w:r>
      <w:r>
        <w:instrText xml:space="preserve"> HYPERLINK \l "_Toc33176291" </w:instrText>
      </w:r>
      <w:r>
        <w:fldChar w:fldCharType="separate"/>
      </w:r>
      <w:r>
        <w:rPr>
          <w:rStyle w:val="25"/>
          <w:rFonts w:ascii="宋体" w:hAnsi="宋体"/>
        </w:rPr>
        <w:t>（一）积极落实安全规章制度，强化安全防范措施</w:t>
      </w:r>
      <w:r>
        <w:tab/>
      </w:r>
      <w:r>
        <w:fldChar w:fldCharType="begin"/>
      </w:r>
      <w:r>
        <w:instrText xml:space="preserve"> PAGEREF _Toc33176291 \h </w:instrText>
      </w:r>
      <w:r>
        <w:fldChar w:fldCharType="separate"/>
      </w:r>
      <w:r>
        <w:t>17</w:t>
      </w:r>
      <w:r>
        <w:fldChar w:fldCharType="end"/>
      </w:r>
      <w:r>
        <w:fldChar w:fldCharType="end"/>
      </w:r>
    </w:p>
    <w:p>
      <w:pPr>
        <w:pStyle w:val="19"/>
        <w:tabs>
          <w:tab w:val="right" w:leader="dot" w:pos="8296"/>
        </w:tabs>
        <w:ind w:left="420"/>
        <w:rPr>
          <w:rFonts w:asciiTheme="minorHAnsi" w:hAnsiTheme="minorHAnsi" w:eastAsiaTheme="minorEastAsia" w:cstheme="minorBidi"/>
          <w:sz w:val="21"/>
        </w:rPr>
      </w:pPr>
      <w:r>
        <w:fldChar w:fldCharType="begin"/>
      </w:r>
      <w:r>
        <w:instrText xml:space="preserve"> HYPERLINK \l "_Toc33176292" </w:instrText>
      </w:r>
      <w:r>
        <w:fldChar w:fldCharType="separate"/>
      </w:r>
      <w:r>
        <w:rPr>
          <w:rStyle w:val="25"/>
          <w:rFonts w:ascii="宋体" w:hAnsi="宋体"/>
        </w:rPr>
        <w:t>（二）积极落实企业主体责任，切实保障员工身体健康</w:t>
      </w:r>
      <w:r>
        <w:tab/>
      </w:r>
      <w:r>
        <w:fldChar w:fldCharType="begin"/>
      </w:r>
      <w:r>
        <w:instrText xml:space="preserve"> PAGEREF _Toc33176292 \h </w:instrText>
      </w:r>
      <w:r>
        <w:fldChar w:fldCharType="separate"/>
      </w:r>
      <w:r>
        <w:t>20</w:t>
      </w:r>
      <w:r>
        <w:fldChar w:fldCharType="end"/>
      </w:r>
      <w:r>
        <w:fldChar w:fldCharType="end"/>
      </w:r>
    </w:p>
    <w:p>
      <w:pPr>
        <w:pStyle w:val="19"/>
        <w:tabs>
          <w:tab w:val="right" w:leader="dot" w:pos="8296"/>
        </w:tabs>
        <w:ind w:left="420"/>
        <w:rPr>
          <w:rFonts w:asciiTheme="minorHAnsi" w:hAnsiTheme="minorHAnsi" w:eastAsiaTheme="minorEastAsia" w:cstheme="minorBidi"/>
          <w:sz w:val="21"/>
        </w:rPr>
      </w:pPr>
      <w:r>
        <w:fldChar w:fldCharType="begin"/>
      </w:r>
      <w:r>
        <w:instrText xml:space="preserve"> HYPERLINK \l "_Toc33176293" </w:instrText>
      </w:r>
      <w:r>
        <w:fldChar w:fldCharType="separate"/>
      </w:r>
      <w:r>
        <w:rPr>
          <w:rStyle w:val="25"/>
          <w:rFonts w:ascii="宋体" w:hAnsi="宋体"/>
        </w:rPr>
        <w:t>（三）积极助力员工成长，稳步成就企业未来</w:t>
      </w:r>
      <w:r>
        <w:tab/>
      </w:r>
      <w:r>
        <w:fldChar w:fldCharType="begin"/>
      </w:r>
      <w:r>
        <w:instrText xml:space="preserve"> PAGEREF _Toc33176293 \h </w:instrText>
      </w:r>
      <w:r>
        <w:fldChar w:fldCharType="separate"/>
      </w:r>
      <w:r>
        <w:t>22</w:t>
      </w:r>
      <w:r>
        <w:fldChar w:fldCharType="end"/>
      </w:r>
      <w:r>
        <w:fldChar w:fldCharType="end"/>
      </w:r>
    </w:p>
    <w:p>
      <w:pPr>
        <w:pStyle w:val="19"/>
        <w:tabs>
          <w:tab w:val="right" w:leader="dot" w:pos="8296"/>
        </w:tabs>
        <w:ind w:left="420"/>
        <w:rPr>
          <w:rFonts w:asciiTheme="minorHAnsi" w:hAnsiTheme="minorHAnsi" w:eastAsiaTheme="minorEastAsia" w:cstheme="minorBidi"/>
          <w:sz w:val="21"/>
        </w:rPr>
      </w:pPr>
      <w:r>
        <w:fldChar w:fldCharType="begin"/>
      </w:r>
      <w:r>
        <w:instrText xml:space="preserve"> HYPERLINK \l "_Toc33176294" </w:instrText>
      </w:r>
      <w:r>
        <w:fldChar w:fldCharType="separate"/>
      </w:r>
      <w:r>
        <w:rPr>
          <w:rStyle w:val="25"/>
          <w:rFonts w:ascii="宋体" w:hAnsi="宋体"/>
        </w:rPr>
        <w:t>（四）积极落实企业民主管理规定，促进企业持续健康发展</w:t>
      </w:r>
      <w:r>
        <w:tab/>
      </w:r>
      <w:r>
        <w:fldChar w:fldCharType="begin"/>
      </w:r>
      <w:r>
        <w:instrText xml:space="preserve"> PAGEREF _Toc33176294 \h </w:instrText>
      </w:r>
      <w:r>
        <w:fldChar w:fldCharType="separate"/>
      </w:r>
      <w:r>
        <w:t>23</w:t>
      </w:r>
      <w:r>
        <w:fldChar w:fldCharType="end"/>
      </w:r>
      <w:r>
        <w:fldChar w:fldCharType="end"/>
      </w:r>
    </w:p>
    <w:p>
      <w:pPr>
        <w:pStyle w:val="19"/>
        <w:tabs>
          <w:tab w:val="right" w:leader="dot" w:pos="8296"/>
        </w:tabs>
        <w:ind w:left="420"/>
        <w:rPr>
          <w:rFonts w:asciiTheme="minorHAnsi" w:hAnsiTheme="minorHAnsi" w:eastAsiaTheme="minorEastAsia" w:cstheme="minorBidi"/>
          <w:sz w:val="21"/>
        </w:rPr>
      </w:pPr>
      <w:r>
        <w:fldChar w:fldCharType="begin"/>
      </w:r>
      <w:r>
        <w:instrText xml:space="preserve"> HYPERLINK \l "_Toc33176295" </w:instrText>
      </w:r>
      <w:r>
        <w:fldChar w:fldCharType="separate"/>
      </w:r>
      <w:r>
        <w:rPr>
          <w:rStyle w:val="25"/>
          <w:rFonts w:ascii="宋体" w:hAnsi="宋体"/>
        </w:rPr>
        <w:t>（五）坚持以人为本关爱员工，增强企业凝聚力</w:t>
      </w:r>
      <w:r>
        <w:tab/>
      </w:r>
      <w:r>
        <w:fldChar w:fldCharType="begin"/>
      </w:r>
      <w:r>
        <w:instrText xml:space="preserve"> PAGEREF _Toc33176295 \h </w:instrText>
      </w:r>
      <w:r>
        <w:fldChar w:fldCharType="separate"/>
      </w:r>
      <w:r>
        <w:t>25</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"_Toc33176296" </w:instrText>
      </w:r>
      <w:r>
        <w:fldChar w:fldCharType="separate"/>
      </w:r>
      <w:r>
        <w:rPr>
          <w:rStyle w:val="25"/>
        </w:rPr>
        <w:t>四、绿色发展</w:t>
      </w:r>
      <w:r>
        <w:tab/>
      </w:r>
      <w:r>
        <w:fldChar w:fldCharType="begin"/>
      </w:r>
      <w:r>
        <w:instrText xml:space="preserve"> PAGEREF _Toc33176296 \h </w:instrText>
      </w:r>
      <w:r>
        <w:fldChar w:fldCharType="separate"/>
      </w:r>
      <w:r>
        <w:t>29</w:t>
      </w:r>
      <w:r>
        <w:fldChar w:fldCharType="end"/>
      </w:r>
      <w:r>
        <w:fldChar w:fldCharType="end"/>
      </w:r>
    </w:p>
    <w:p>
      <w:pPr>
        <w:pStyle w:val="19"/>
        <w:tabs>
          <w:tab w:val="right" w:leader="dot" w:pos="8296"/>
        </w:tabs>
        <w:ind w:left="420"/>
        <w:rPr>
          <w:rFonts w:asciiTheme="minorHAnsi" w:hAnsiTheme="minorHAnsi" w:eastAsiaTheme="minorEastAsia" w:cstheme="minorBidi"/>
          <w:sz w:val="21"/>
        </w:rPr>
      </w:pPr>
      <w:r>
        <w:fldChar w:fldCharType="begin"/>
      </w:r>
      <w:r>
        <w:instrText xml:space="preserve"> HYPERLINK \l "_Toc33176297" </w:instrText>
      </w:r>
      <w:r>
        <w:fldChar w:fldCharType="separate"/>
      </w:r>
      <w:r>
        <w:rPr>
          <w:rStyle w:val="25"/>
        </w:rPr>
        <w:t>（一）环境保护公益活动</w:t>
      </w:r>
      <w:r>
        <w:tab/>
      </w:r>
      <w:r>
        <w:fldChar w:fldCharType="begin"/>
      </w:r>
      <w:r>
        <w:instrText xml:space="preserve"> PAGEREF _Toc33176297 \h </w:instrText>
      </w:r>
      <w:r>
        <w:fldChar w:fldCharType="separate"/>
      </w:r>
      <w:r>
        <w:t>29</w:t>
      </w:r>
      <w:r>
        <w:fldChar w:fldCharType="end"/>
      </w:r>
      <w:r>
        <w:fldChar w:fldCharType="end"/>
      </w:r>
    </w:p>
    <w:p>
      <w:pPr>
        <w:pStyle w:val="19"/>
        <w:tabs>
          <w:tab w:val="right" w:leader="dot" w:pos="8296"/>
        </w:tabs>
        <w:ind w:left="420"/>
        <w:rPr>
          <w:rFonts w:asciiTheme="minorHAnsi" w:hAnsiTheme="minorHAnsi" w:eastAsiaTheme="minorEastAsia" w:cstheme="minorBidi"/>
          <w:sz w:val="21"/>
        </w:rPr>
      </w:pPr>
      <w:r>
        <w:fldChar w:fldCharType="begin"/>
      </w:r>
      <w:r>
        <w:instrText xml:space="preserve"> HYPERLINK \l "_Toc33176298" </w:instrText>
      </w:r>
      <w:r>
        <w:fldChar w:fldCharType="separate"/>
      </w:r>
      <w:r>
        <w:rPr>
          <w:rStyle w:val="25"/>
          <w:rFonts w:ascii="宋体" w:hAnsi="宋体"/>
        </w:rPr>
        <w:t>（二）节能减排共建美好家园</w:t>
      </w:r>
      <w:r>
        <w:tab/>
      </w:r>
      <w:r>
        <w:fldChar w:fldCharType="begin"/>
      </w:r>
      <w:r>
        <w:instrText xml:space="preserve"> PAGEREF _Toc33176298 \h </w:instrText>
      </w:r>
      <w:r>
        <w:fldChar w:fldCharType="separate"/>
      </w:r>
      <w:r>
        <w:t>31</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"_Toc33176299" </w:instrText>
      </w:r>
      <w:r>
        <w:fldChar w:fldCharType="separate"/>
      </w:r>
      <w:r>
        <w:rPr>
          <w:rStyle w:val="25"/>
        </w:rPr>
        <w:t>五、开放发展</w:t>
      </w:r>
      <w:r>
        <w:tab/>
      </w:r>
      <w:r>
        <w:fldChar w:fldCharType="begin"/>
      </w:r>
      <w:r>
        <w:instrText xml:space="preserve"> PAGEREF _Toc33176299 \h </w:instrText>
      </w:r>
      <w:r>
        <w:fldChar w:fldCharType="separate"/>
      </w:r>
      <w:r>
        <w:t>33</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"_Toc33176300" </w:instrText>
      </w:r>
      <w:r>
        <w:fldChar w:fldCharType="separate"/>
      </w:r>
      <w:r>
        <w:rPr>
          <w:rStyle w:val="25"/>
        </w:rPr>
        <w:t>六、共享发展</w:t>
      </w:r>
      <w:r>
        <w:tab/>
      </w:r>
      <w:r>
        <w:fldChar w:fldCharType="begin"/>
      </w:r>
      <w:r>
        <w:instrText xml:space="preserve"> PAGEREF _Toc33176300 \h </w:instrText>
      </w:r>
      <w:r>
        <w:fldChar w:fldCharType="separate"/>
      </w:r>
      <w:r>
        <w:t>37</w:t>
      </w:r>
      <w:r>
        <w:fldChar w:fldCharType="end"/>
      </w:r>
      <w:r>
        <w:fldChar w:fldCharType="end"/>
      </w:r>
    </w:p>
    <w:p>
      <w:pPr>
        <w:pStyle w:val="17"/>
        <w:tabs>
          <w:tab w:val="right" w:leader="dot" w:pos="8296"/>
        </w:tabs>
        <w:rPr>
          <w:rFonts w:asciiTheme="minorHAnsi" w:hAnsiTheme="minorHAnsi" w:eastAsiaTheme="minorEastAsia" w:cstheme="minorBidi"/>
          <w:sz w:val="21"/>
        </w:rPr>
      </w:pPr>
      <w:r>
        <w:fldChar w:fldCharType="begin"/>
      </w:r>
      <w:r>
        <w:instrText xml:space="preserve"> HYPERLINK \l "_Toc33176301" </w:instrText>
      </w:r>
      <w:r>
        <w:fldChar w:fldCharType="separate"/>
      </w:r>
      <w:r>
        <w:rPr>
          <w:rStyle w:val="25"/>
        </w:rPr>
        <w:t>七、结语</w:t>
      </w:r>
      <w:r>
        <w:tab/>
      </w:r>
      <w:r>
        <w:fldChar w:fldCharType="begin"/>
      </w:r>
      <w:r>
        <w:instrText xml:space="preserve"> PAGEREF _Toc33176301 \h </w:instrText>
      </w:r>
      <w:r>
        <w:fldChar w:fldCharType="separate"/>
      </w:r>
      <w:r>
        <w:t>39</w:t>
      </w:r>
      <w:r>
        <w:fldChar w:fldCharType="end"/>
      </w:r>
      <w:r>
        <w:fldChar w:fldCharType="end"/>
      </w:r>
    </w:p>
    <w:p>
      <w:r>
        <w:fldChar w:fldCharType="end"/>
      </w:r>
    </w:p>
    <w:p/>
    <w:p>
      <w:pPr>
        <w:sectPr>
          <w:pgSz w:w="11906" w:h="16838"/>
          <w:pgMar w:top="1440" w:right="1800" w:bottom="1440" w:left="1800" w:header="851" w:footer="992" w:gutter="0"/>
          <w:pgNumType w:start="1"/>
          <w:cols w:space="425" w:num="1"/>
          <w:docGrid w:linePitch="312" w:charSpace="0"/>
        </w:sectPr>
      </w:pPr>
    </w:p>
    <w:p>
      <w:pPr>
        <w:pStyle w:val="5"/>
        <w:numPr>
          <w:ilvl w:val="0"/>
          <w:numId w:val="0"/>
        </w:numPr>
        <w:spacing w:before="240" w:after="240"/>
      </w:pPr>
      <w:bookmarkStart w:id="2" w:name="_Toc33176281"/>
      <w:bookmarkStart w:id="3" w:name="_Toc32950325"/>
      <w:r>
        <w:rPr>
          <w:rFonts w:hint="eastAsia"/>
        </w:rPr>
        <w:t>关于本报告说明</w:t>
      </w:r>
      <w:bookmarkEnd w:id="2"/>
      <w:bookmarkEnd w:id="3"/>
    </w:p>
    <w:p>
      <w:pPr>
        <w:spacing w:before="120" w:beforeLines="50" w:after="120" w:afterLines="50"/>
        <w:rPr>
          <w:rFonts w:ascii="仿宋" w:hAnsi="仿宋" w:eastAsia="仿宋"/>
          <w:b/>
          <w:bCs/>
          <w:sz w:val="32"/>
          <w:szCs w:val="32"/>
        </w:rPr>
      </w:pPr>
      <w:r>
        <w:rPr>
          <w:rFonts w:hint="eastAsia" w:ascii="仿宋" w:hAnsi="仿宋" w:eastAsia="仿宋"/>
          <w:b/>
          <w:bCs/>
          <w:sz w:val="32"/>
          <w:szCs w:val="32"/>
        </w:rPr>
        <w:t>报告简介</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报告回顾了公司20</w:t>
      </w:r>
      <w:r>
        <w:rPr>
          <w:rFonts w:hint="eastAsia" w:ascii="仿宋" w:hAnsi="仿宋" w:eastAsia="仿宋"/>
          <w:sz w:val="28"/>
          <w:szCs w:val="28"/>
          <w:lang w:val="en-US" w:eastAsia="zh-CN"/>
        </w:rPr>
        <w:t>21</w:t>
      </w:r>
      <w:r>
        <w:rPr>
          <w:rFonts w:hint="eastAsia" w:ascii="仿宋" w:hAnsi="仿宋" w:eastAsia="仿宋"/>
          <w:sz w:val="28"/>
          <w:szCs w:val="28"/>
        </w:rPr>
        <w:t>年在社会责任方面所做的各项工作，披露了公司履行经济、环境和社会责任方面的理念、践行和成绩。</w:t>
      </w:r>
    </w:p>
    <w:p>
      <w:pPr>
        <w:spacing w:before="120" w:beforeLines="50" w:after="120" w:afterLines="50"/>
        <w:rPr>
          <w:rFonts w:ascii="仿宋" w:hAnsi="仿宋" w:eastAsia="仿宋"/>
          <w:b/>
          <w:bCs/>
          <w:sz w:val="32"/>
          <w:szCs w:val="32"/>
        </w:rPr>
      </w:pPr>
      <w:r>
        <w:rPr>
          <w:rFonts w:hint="eastAsia" w:ascii="仿宋" w:hAnsi="仿宋" w:eastAsia="仿宋"/>
          <w:b/>
          <w:bCs/>
          <w:sz w:val="32"/>
          <w:szCs w:val="32"/>
        </w:rPr>
        <w:t>编写标准</w:t>
      </w:r>
    </w:p>
    <w:p>
      <w:pPr>
        <w:spacing w:line="360" w:lineRule="auto"/>
        <w:ind w:firstLine="560" w:firstLineChars="200"/>
        <w:rPr>
          <w:rFonts w:ascii="仿宋" w:hAnsi="仿宋" w:eastAsia="仿宋"/>
          <w:sz w:val="28"/>
          <w:szCs w:val="28"/>
        </w:rPr>
      </w:pPr>
      <w:r>
        <w:rPr>
          <w:rFonts w:hint="eastAsia" w:ascii="仿宋" w:hAnsi="仿宋" w:eastAsia="仿宋"/>
          <w:sz w:val="28"/>
          <w:szCs w:val="28"/>
        </w:rPr>
        <w:t>本报告是安徽皖能环保发电有限公司(以下简称“环保发电公司”)根据皖能集团《关于开展皖能环保发电有限公司20</w:t>
      </w:r>
      <w:r>
        <w:rPr>
          <w:rFonts w:hint="eastAsia" w:ascii="仿宋" w:hAnsi="仿宋" w:eastAsia="仿宋"/>
          <w:sz w:val="28"/>
          <w:szCs w:val="28"/>
          <w:lang w:val="en-US" w:eastAsia="zh-CN"/>
        </w:rPr>
        <w:t>21</w:t>
      </w:r>
      <w:r>
        <w:rPr>
          <w:rFonts w:hint="eastAsia" w:ascii="仿宋" w:hAnsi="仿宋" w:eastAsia="仿宋"/>
          <w:sz w:val="28"/>
          <w:szCs w:val="28"/>
        </w:rPr>
        <w:t>年社会责任报告编制工作的通知》，结合环保发电有限公司在履行社会责任方面的具体情况编制的。报告真实、客观地阐述了皖能环保发电有限公司20</w:t>
      </w:r>
      <w:r>
        <w:rPr>
          <w:rFonts w:hint="eastAsia" w:ascii="仿宋" w:hAnsi="仿宋" w:eastAsia="仿宋"/>
          <w:sz w:val="28"/>
          <w:szCs w:val="28"/>
          <w:lang w:val="en-US" w:eastAsia="zh-CN"/>
        </w:rPr>
        <w:t>21</w:t>
      </w:r>
      <w:r>
        <w:rPr>
          <w:rFonts w:hint="eastAsia" w:ascii="仿宋" w:hAnsi="仿宋" w:eastAsia="仿宋"/>
          <w:sz w:val="28"/>
          <w:szCs w:val="28"/>
        </w:rPr>
        <w:t>年度在履行社会责任方面做出的具体工作，希望接受集团公司和企业职工的监督和指导，促使公司更好地履行和担负社会责任。</w:t>
      </w:r>
    </w:p>
    <w:p>
      <w:pPr>
        <w:spacing w:before="120" w:beforeLines="50" w:after="120" w:afterLines="50"/>
        <w:rPr>
          <w:rFonts w:ascii="仿宋" w:hAnsi="仿宋" w:eastAsia="仿宋"/>
          <w:b/>
          <w:bCs/>
          <w:sz w:val="32"/>
          <w:szCs w:val="32"/>
        </w:rPr>
      </w:pPr>
      <w:r>
        <w:rPr>
          <w:rFonts w:hint="eastAsia" w:ascii="仿宋" w:hAnsi="仿宋" w:eastAsia="仿宋"/>
          <w:b/>
          <w:bCs/>
          <w:sz w:val="32"/>
          <w:szCs w:val="32"/>
        </w:rPr>
        <w:t>时间范围</w:t>
      </w:r>
    </w:p>
    <w:p>
      <w:pPr>
        <w:pStyle w:val="37"/>
      </w:pPr>
      <w:r>
        <w:rPr>
          <w:rFonts w:hint="eastAsia"/>
        </w:rPr>
        <w:t>报告中的20</w:t>
      </w:r>
      <w:r>
        <w:rPr>
          <w:rFonts w:hint="eastAsia"/>
          <w:lang w:val="en-US" w:eastAsia="zh-CN"/>
        </w:rPr>
        <w:t>21</w:t>
      </w:r>
      <w:r>
        <w:rPr>
          <w:rFonts w:hint="eastAsia"/>
        </w:rPr>
        <w:t>年指20</w:t>
      </w:r>
      <w:r>
        <w:rPr>
          <w:rFonts w:hint="eastAsia"/>
          <w:lang w:val="en-US" w:eastAsia="zh-CN"/>
        </w:rPr>
        <w:t>21</w:t>
      </w:r>
      <w:r>
        <w:rPr>
          <w:rFonts w:hint="eastAsia"/>
        </w:rPr>
        <w:t>年1月1日-12月31日，部分内容适当追溯以往年份。</w:t>
      </w:r>
    </w:p>
    <w:p>
      <w:pPr>
        <w:spacing w:before="120" w:beforeLines="50" w:after="120" w:afterLines="50"/>
        <w:rPr>
          <w:rFonts w:ascii="仿宋" w:hAnsi="仿宋" w:eastAsia="仿宋"/>
          <w:b/>
          <w:bCs/>
          <w:sz w:val="32"/>
          <w:szCs w:val="32"/>
        </w:rPr>
      </w:pPr>
      <w:r>
        <w:rPr>
          <w:rFonts w:hint="eastAsia" w:ascii="仿宋" w:hAnsi="仿宋" w:eastAsia="仿宋"/>
          <w:b/>
          <w:bCs/>
          <w:sz w:val="32"/>
          <w:szCs w:val="32"/>
        </w:rPr>
        <w:t>数据来源</w:t>
      </w:r>
    </w:p>
    <w:p>
      <w:pPr>
        <w:spacing w:line="360" w:lineRule="auto"/>
        <w:ind w:firstLine="560" w:firstLineChars="200"/>
        <w:rPr>
          <w:rFonts w:ascii="仿宋" w:hAnsi="仿宋" w:eastAsia="仿宋"/>
          <w:sz w:val="28"/>
          <w:szCs w:val="28"/>
        </w:rPr>
      </w:pPr>
      <w:r>
        <w:rPr>
          <w:rFonts w:hint="eastAsia" w:ascii="仿宋" w:hAnsi="仿宋" w:eastAsia="仿宋"/>
          <w:sz w:val="28"/>
          <w:szCs w:val="28"/>
        </w:rPr>
        <w:t>环保发电有限公司各子公司年报，其他数据来源公司内部文件和公司各部门信息统计。</w:t>
      </w:r>
    </w:p>
    <w:p/>
    <w:p>
      <w:pPr>
        <w:sectPr>
          <w:footerReference r:id="rId4" w:type="first"/>
          <w:footerReference r:id="rId3" w:type="default"/>
          <w:pgSz w:w="11906" w:h="16838"/>
          <w:pgMar w:top="1440" w:right="1797" w:bottom="1440" w:left="1797" w:header="851" w:footer="992" w:gutter="0"/>
          <w:pgNumType w:start="1"/>
          <w:cols w:space="425" w:num="1"/>
          <w:docGrid w:linePitch="312" w:charSpace="0"/>
        </w:sectPr>
      </w:pPr>
      <w:bookmarkStart w:id="4" w:name="_Toc32933548"/>
    </w:p>
    <w:p>
      <w:pPr>
        <w:pStyle w:val="5"/>
        <w:numPr>
          <w:ilvl w:val="0"/>
          <w:numId w:val="0"/>
        </w:numPr>
        <w:spacing w:before="240" w:after="240"/>
      </w:pPr>
      <w:bookmarkStart w:id="5" w:name="_Toc33176282"/>
      <w:bookmarkStart w:id="6" w:name="_Toc32950326"/>
      <w:r>
        <w:rPr>
          <w:rFonts w:hint="eastAsia"/>
        </w:rPr>
        <w:t>公司简介</w:t>
      </w:r>
      <w:bookmarkEnd w:id="4"/>
      <w:bookmarkEnd w:id="5"/>
      <w:bookmarkEnd w:id="6"/>
    </w:p>
    <w:p>
      <w:pPr>
        <w:pStyle w:val="37"/>
      </w:pPr>
      <w:r>
        <w:rPr>
          <w:rFonts w:hint="eastAsia"/>
        </w:rPr>
        <w:t>安徽皖能环保发电有限公司是安徽省能源集团有限公司（以下简称皖能集团公司）为履行环境保护和节能减排义务，组建成立的新能源板块国有独资企业，</w:t>
      </w:r>
      <w:r>
        <w:rPr>
          <w:rFonts w:hint="eastAsia" w:ascii="仿宋" w:hAnsi="仿宋" w:eastAsia="仿宋"/>
          <w:sz w:val="28"/>
          <w:szCs w:val="28"/>
          <w:lang w:val="en-US" w:eastAsia="zh-CN"/>
        </w:rPr>
        <w:t>截止2021年底，资产总额达到97.5亿元，</w:t>
      </w:r>
      <w:r>
        <w:rPr>
          <w:rFonts w:hint="eastAsia"/>
        </w:rPr>
        <w:t>专业从事环保发电项目投资及相关设施的建设、运营、维护。其母公司皖能集团是由安徽省政府出资设立的国有独资公司，是省政府授权的能源投资经营机构和国有资产投资主体。</w:t>
      </w:r>
    </w:p>
    <w:p>
      <w:pPr>
        <w:pStyle w:val="37"/>
      </w:pPr>
      <w:r>
        <w:rPr>
          <w:rFonts w:hint="eastAsia"/>
        </w:rPr>
        <w:t>环保发电公司在皖能集团的指导支持下，抓住生态文明建设、加快城镇化国家战略机遇，积极发挥国企环保事业排头兵的作用，以“责任、绿色、专业”行业理念为引领，以建设环保宣教基地、打造城市环保名片为追求，致力将公司发展成为中国固废处理环保领域的优秀企业。公司遵循安徽省政府部署和皖能集团“大能源、大项目、大重组、大开放”四大战略，充分发挥在发电和垃圾焚烧方面的专业优势，积极开展规模化布点建设垃圾焚烧发电厂的工作，环保发电公司“村（乡镇）收集、乡镇（县）转运、县（市）焚烧”的皖能特色跨区域城乡生活垃圾集中处理模式获得安徽省政府的充分肯定，具有明显的示范效应和显著的推广价值。</w:t>
      </w:r>
    </w:p>
    <w:p>
      <w:pPr>
        <w:pStyle w:val="37"/>
      </w:pPr>
      <w:r>
        <w:rPr>
          <w:rFonts w:hint="eastAsia"/>
        </w:rPr>
        <w:t>环保发电公司投资的生活垃圾焚烧发电厂实施园林式、环境友好型景观设计，垃圾输送和处理分别在相对封闭的厂房和全封闭负压设计的垃圾贮坑内进行，实现了垃圾电厂无垃圾、无异味、花园式的现代化垃圾电厂，接待了各级领导、市民和学生前来参观体验、接受环保科普教育，彻底颠覆了他们对垃圾电厂脏乱差，恶臭难闻的最初想象。企业先后被命名为“市民环保宣传教育示范基地”、“校企环保共建单位”、“大学生环保教育实习基地”。在安徽省“三线三边”环境综合治理中，皖能垃圾电厂成为安徽电视台专题宣传片的重要拍摄地，并被列为安徽省唯一一家全国生活垃圾处理项目宣传教育示范基地备选单位。如今，遍布各地的皖能垃圾电厂已成为城市一张张亮丽的绿色名片。</w:t>
      </w:r>
    </w:p>
    <w:p>
      <w:pPr>
        <w:pStyle w:val="37"/>
      </w:pPr>
      <w:r>
        <w:rPr>
          <w:rFonts w:hint="eastAsia"/>
        </w:rPr>
        <w:t>通过多个项目的成功运作，环保发电公司品牌优势和专业地位不断巩固，企业软实力在创新引路、合作为媒“新合”文化的支撑下得到迅速提升。作为系统化固废处理服务投资商和运营商，环保发电公司深谙应肩负的社会责任，把“责任、绿色、专业”的发展理念提升到公司战略层面，积极履行社会责任，得到社会的广泛认可，多次获得 “低碳中国暨节能减排突出贡献企业”、“环保创新企业”、“环保产业骨干企业”等荣誉称号。</w:t>
      </w:r>
    </w:p>
    <w:p>
      <w:pPr>
        <w:pStyle w:val="37"/>
      </w:pPr>
      <w:r>
        <w:rPr>
          <w:rFonts w:hint="eastAsia"/>
        </w:rPr>
        <w:t>环保发电公司将把握中国环保产业发展的大好时机，围绕自身管理优势、技术优势和规模优势，以建成的固废处理项目为基础通过技术工艺和业务模式的不断创新，持续提升核心竞争力，向环保多领域拓展，通过延伸产业链提升产业地位，努力打造现代化、专业化、规模化和具有国际水准的一流环保企业, 按</w:t>
      </w:r>
      <w:r>
        <w:t>“高起点设计、高标准建设、高水平管理、高质量效果、高颜值形象”</w:t>
      </w:r>
      <w:r>
        <w:rPr>
          <w:rFonts w:hint="eastAsia"/>
        </w:rPr>
        <w:t>的工作要求，为实现社会、经济和环境的可持续协调发展做出更大贡献。</w:t>
      </w:r>
    </w:p>
    <w:p>
      <w:pPr>
        <w:jc w:val="left"/>
        <w:rPr>
          <w:rFonts w:ascii="宋体" w:hAnsi="宋体"/>
          <w:sz w:val="28"/>
          <w:szCs w:val="28"/>
        </w:rPr>
      </w:pPr>
      <w:r>
        <w:object>
          <v:shape id="_x0000_i1025" o:spt="75" type="#_x0000_t75" style="height:397.7pt;width:408.45pt;" o:ole="t" filled="f" o:preferrelative="t" stroked="f" coordsize="21600,21600">
            <v:path/>
            <v:fill on="f" focussize="0,0"/>
            <v:stroke on="f" joinstyle="miter"/>
            <v:imagedata r:id="rId8" o:title=""/>
            <o:lock v:ext="edit" aspectratio="t"/>
            <w10:wrap type="none"/>
            <w10:anchorlock/>
          </v:shape>
          <o:OLEObject Type="Embed" ProgID="Visio.Drawing.15" ShapeID="_x0000_i1025" DrawAspect="Content" ObjectID="_1468075725" r:id="rId7">
            <o:LockedField>false</o:LockedField>
          </o:OLEObject>
        </w:object>
      </w:r>
    </w:p>
    <w:p>
      <w:pPr>
        <w:pStyle w:val="38"/>
        <w:rPr>
          <w:rFonts w:hint="eastAsia" w:ascii="仿宋" w:hAnsi="仿宋" w:eastAsia="仿宋" w:cs="仿宋"/>
        </w:rPr>
      </w:pPr>
      <w:r>
        <w:rPr>
          <w:rFonts w:hint="eastAsia" w:ascii="仿宋" w:hAnsi="仿宋" w:eastAsia="仿宋" w:cs="仿宋"/>
        </w:rPr>
        <w:t>图</w:t>
      </w:r>
      <w:r>
        <w:rPr>
          <w:rFonts w:hint="eastAsia" w:ascii="仿宋" w:hAnsi="仿宋" w:eastAsia="仿宋" w:cs="仿宋"/>
        </w:rPr>
        <w:fldChar w:fldCharType="begin"/>
      </w:r>
      <w:r>
        <w:rPr>
          <w:rFonts w:hint="eastAsia" w:ascii="仿宋" w:hAnsi="仿宋" w:eastAsia="仿宋" w:cs="仿宋"/>
        </w:rPr>
        <w:instrText xml:space="preserve"> SEQ 图 \* ARABIC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t xml:space="preserve"> 环保发电公司组织架构图</w:t>
      </w:r>
    </w:p>
    <w:p>
      <w:pPr>
        <w:jc w:val="left"/>
        <w:rPr>
          <w:rFonts w:ascii="宋体" w:hAnsi="宋体"/>
          <w:sz w:val="28"/>
          <w:szCs w:val="28"/>
        </w:rPr>
      </w:pPr>
    </w:p>
    <w:p>
      <w:pPr>
        <w:jc w:val="left"/>
        <w:rPr>
          <w:rFonts w:ascii="宋体" w:hAnsi="宋体"/>
          <w:sz w:val="28"/>
          <w:szCs w:val="28"/>
        </w:rPr>
        <w:sectPr>
          <w:pgSz w:w="11906" w:h="16838"/>
          <w:pgMar w:top="1440" w:right="1797" w:bottom="1440" w:left="1797" w:header="851" w:footer="992" w:gutter="0"/>
          <w:cols w:space="425" w:num="1"/>
          <w:docGrid w:linePitch="312" w:charSpace="0"/>
        </w:sectPr>
      </w:pPr>
    </w:p>
    <w:p>
      <w:pPr>
        <w:pStyle w:val="5"/>
        <w:spacing w:before="240" w:after="240"/>
      </w:pPr>
      <w:bookmarkStart w:id="7" w:name="_Toc32933549"/>
      <w:bookmarkStart w:id="8" w:name="_Toc33176283"/>
      <w:bookmarkStart w:id="9" w:name="_Toc32950327"/>
      <w:r>
        <w:rPr>
          <w:rFonts w:hint="eastAsia"/>
        </w:rPr>
        <w:t>创新发</w:t>
      </w:r>
      <w:r>
        <w:t>展</w:t>
      </w:r>
      <w:bookmarkEnd w:id="7"/>
      <w:bookmarkEnd w:id="8"/>
      <w:bookmarkEnd w:id="9"/>
    </w:p>
    <w:p>
      <w:pPr>
        <w:pStyle w:val="37"/>
      </w:pPr>
      <w:r>
        <w:rPr>
          <w:rFonts w:hint="eastAsia"/>
        </w:rPr>
        <w:t>20</w:t>
      </w:r>
      <w:r>
        <w:rPr>
          <w:rFonts w:hint="eastAsia"/>
          <w:lang w:val="en-US" w:eastAsia="zh-CN"/>
        </w:rPr>
        <w:t>21</w:t>
      </w:r>
      <w:r>
        <w:rPr>
          <w:rFonts w:hint="eastAsia"/>
        </w:rPr>
        <w:t>年，环保发电公司一方面积极开展生产经营工作，努力开拓市场，优化业务模式，依法保护职工的合法权益，着力提升职工幸福指数，构筑企业与职工之间的和谐氛围；另一方面，树立和维护诚信、守法、公正的良好形象，依法纳税，主动承担对自然环境、对社会和经济发展的义务，积极维护社会稳定，支持和赞助社会公益事业，关注社会弱势群体的生存环境，扶贫济困，救助灾害。公司已将承担企业社会责任融入到公司的经营发展之中，追求公司、员工、社会的共同进步和发展。</w:t>
      </w:r>
    </w:p>
    <w:p>
      <w:pPr>
        <w:pStyle w:val="6"/>
        <w:spacing w:before="240" w:after="240"/>
      </w:pPr>
      <w:bookmarkStart w:id="10" w:name="_Toc33176284"/>
      <w:bookmarkStart w:id="11" w:name="_Toc32933550"/>
      <w:bookmarkStart w:id="12" w:name="_Toc32950328"/>
      <w:r>
        <w:rPr>
          <w:rFonts w:hint="eastAsia"/>
        </w:rPr>
        <w:t>科技创新</w:t>
      </w:r>
      <w:r>
        <w:t>实践与成效</w:t>
      </w:r>
      <w:bookmarkEnd w:id="10"/>
      <w:bookmarkEnd w:id="11"/>
      <w:bookmarkEnd w:id="12"/>
    </w:p>
    <w:p>
      <w:pPr>
        <w:pStyle w:val="37"/>
        <w:rPr>
          <w:rFonts w:hint="eastAsia" w:cs="Times New Roman"/>
          <w:lang w:val="en-US" w:eastAsia="zh-CN"/>
        </w:rPr>
      </w:pPr>
      <w:r>
        <w:rPr>
          <w:rFonts w:hint="eastAsia" w:cs="Times New Roman"/>
          <w:lang w:val="en-US" w:eastAsia="zh-CN"/>
        </w:rPr>
        <w:t>环保发电公司成立了以公司总经理为组长的科技创新工作领导小组，指导和监督公司科技创新工作，副组长由环保发电公司副总经理担任，技术支持部（研发中心）归口管理科技创新工作，负责组织科技创新的实施，同时各子公司成立了相应的研发小组。制定并下发了</w:t>
      </w:r>
      <w:r>
        <w:rPr>
          <w:rFonts w:hint="eastAsia" w:cs="Times New Roman"/>
          <w:lang w:eastAsia="zh-CN"/>
        </w:rPr>
        <w:t>《安徽皖能环保发电有限公司科技创新工作管理规定》、《安徽皖能环保发电有限公司科技投入管理办法（试行）》、《安徽皖能环保发电有限公司科技项目管理办法（试行）》和《安徽省能源集团有限公司科技创新项目研发单位采购管理办法（试行）》等四项制度，为环保发电公司科技创新工作的执行提供制度依据。</w:t>
      </w:r>
    </w:p>
    <w:p>
      <w:pPr>
        <w:pStyle w:val="37"/>
        <w:rPr>
          <w:rFonts w:hint="eastAsia"/>
          <w:lang w:val="en-US" w:eastAsia="zh-CN"/>
        </w:rPr>
      </w:pPr>
      <w:r>
        <w:rPr>
          <w:rFonts w:hint="eastAsia"/>
          <w:lang w:val="en-US" w:eastAsia="zh-CN"/>
        </w:rPr>
        <w:t>2021年环保发电公司通过完善科技创新体系、加强科技管理和科技投入、提升科技创新能力、组建联合体、广泛吸收先进的外部科研成果，从安全生产、环保、提高经济效益等方面开展科技创新，并取得了一定成绩，累计完成滁州公司布袋除尘自控系统研究、宿州公司工业废水处理软化系统节能降耗技术研究、临泉公司省煤器管屏结构及管屏悬吊方式优化研究、环保发电公司生产数据集中管理及大数据分析系统研发等科技创新项目，研发投入共计5007万元，科技投入强度达3.89%，超额完成年初计划集团下发的科技投入2.6%的任务目标。同时积极推进长丰公司、定远公司、滁州公司、阜阳公司、蚌埠公司5家子公司高新技术企业申报工作，2021年度内已向国家专利机关提交33项专利申请，已受理23项，为高新技术企业申报工作奠定坚实基础。</w:t>
      </w:r>
    </w:p>
    <w:p>
      <w:pPr>
        <w:pStyle w:val="37"/>
        <w:rPr>
          <w:rFonts w:hint="eastAsia"/>
          <w:lang w:val="en-US" w:eastAsia="zh-CN"/>
        </w:rPr>
      </w:pPr>
      <w:r>
        <w:rPr>
          <w:rFonts w:hint="eastAsia"/>
          <w:lang w:val="en-US" w:eastAsia="zh-CN"/>
        </w:rPr>
        <w:t>2021年环保发电公司信息化建设从规范化管理和亮点工程入手，规划信息化数字化建设，构建“业务、数据、技术”三大中台，发挥业务管控、数据整合和技术支撑作用。年内完成信息化标准体系模板编制，建立信息化建设规范，完善公司系统信息建设管理具体要求，指导环保发电公司及子公司信息化建设思路和方向，提升公司规范化水平和综合管理能力。加大研发力量投入，立足公司集成门户应用平台，改造升级移动办公审批系统，实现办公、网站、生产管理和各子公司生产实时监控系统的融合，提升移动办公审批效率，提高公司生产经营的管理水平和决策能力。创新融合数字孪生、3D可视化、大数据应用等技术，以长丰、定远、蚌埠公司三家为试点单位同步推进生产大数据集中管理和数字分析平台建设，通过环保发电生产经营实时指标展示和数据对比分析，实现企业数据价值和数字化赋能，下一步，环保发电公司将持续推广大数据平台各子公司的接入，全面覆盖生产数据的监管，加快生产经营数字化进程，推动环保发电公司数字化转型发展，逐步完成数字化智能化升级改造。</w:t>
      </w:r>
    </w:p>
    <w:p>
      <w:pPr>
        <w:pStyle w:val="37"/>
        <w:rPr>
          <w:rFonts w:hint="eastAsia"/>
          <w:lang w:val="en-US" w:eastAsia="zh-CN"/>
        </w:rPr>
      </w:pPr>
    </w:p>
    <w:p>
      <w:pPr>
        <w:pStyle w:val="37"/>
        <w:rPr>
          <w:rFonts w:hint="eastAsia"/>
          <w:lang w:val="en-US" w:eastAsia="zh-CN"/>
        </w:rPr>
      </w:pPr>
    </w:p>
    <w:p>
      <w:pPr>
        <w:pStyle w:val="37"/>
        <w:rPr>
          <w:rFonts w:hint="eastAsia"/>
          <w:lang w:val="en-US" w:eastAsia="zh-CN"/>
        </w:rPr>
      </w:pPr>
    </w:p>
    <w:p>
      <w:pPr>
        <w:pStyle w:val="38"/>
        <w:rPr>
          <w:rFonts w:hint="eastAsia" w:ascii="仿宋" w:hAnsi="仿宋" w:eastAsia="仿宋" w:cs="仿宋"/>
          <w:lang w:val="en-US" w:eastAsia="zh-CN"/>
        </w:rPr>
      </w:pPr>
      <w:r>
        <w:rPr>
          <w:rFonts w:hint="eastAsia" w:ascii="仿宋" w:hAnsi="仿宋" w:eastAsia="仿宋" w:cs="仿宋"/>
          <w:lang w:val="en-US" w:eastAsia="zh-CN"/>
        </w:rPr>
        <w:drawing>
          <wp:anchor distT="0" distB="0" distL="0" distR="0" simplePos="0" relativeHeight="251660288" behindDoc="0" locked="0" layoutInCell="1" allowOverlap="1">
            <wp:simplePos x="0" y="0"/>
            <wp:positionH relativeFrom="column">
              <wp:posOffset>92075</wp:posOffset>
            </wp:positionH>
            <wp:positionV relativeFrom="paragraph">
              <wp:posOffset>220980</wp:posOffset>
            </wp:positionV>
            <wp:extent cx="5057775" cy="2400300"/>
            <wp:effectExtent l="0" t="0" r="9525"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srcRect/>
                    <a:stretch>
                      <a:fillRect/>
                    </a:stretch>
                  </pic:blipFill>
                  <pic:spPr>
                    <a:xfrm>
                      <a:off x="0" y="0"/>
                      <a:ext cx="5062890" cy="2402728"/>
                    </a:xfrm>
                    <a:prstGeom prst="rect">
                      <a:avLst/>
                    </a:prstGeom>
                    <a:noFill/>
                    <a:ln w="9525">
                      <a:noFill/>
                      <a:miter lim="800000"/>
                      <a:headEnd/>
                      <a:tailEnd/>
                    </a:ln>
                  </pic:spPr>
                </pic:pic>
              </a:graphicData>
            </a:graphic>
          </wp:anchor>
        </w:drawing>
      </w:r>
      <w:r>
        <w:rPr>
          <w:rFonts w:hint="eastAsia" w:ascii="仿宋" w:hAnsi="仿宋" w:eastAsia="仿宋" w:cs="仿宋"/>
          <w:lang w:val="en-US" w:eastAsia="zh-CN"/>
        </w:rPr>
        <w:t>图2生产大数据平台</w:t>
      </w:r>
      <w:r>
        <w:rPr>
          <w:rFonts w:hint="eastAsia" w:ascii="仿宋" w:hAnsi="仿宋" w:eastAsia="仿宋" w:cs="仿宋"/>
        </w:rPr>
        <w:t>主界面</w:t>
      </w:r>
    </w:p>
    <w:p>
      <w:pPr>
        <w:pStyle w:val="37"/>
        <w:rPr>
          <w:rFonts w:hint="eastAsia"/>
          <w:lang w:val="en-US" w:eastAsia="zh-CN"/>
        </w:rPr>
      </w:pPr>
      <w:r>
        <w:rPr>
          <w:rFonts w:hint="eastAsia"/>
          <w:lang w:val="en-US" w:eastAsia="zh-CN"/>
        </w:rPr>
        <w:t>颍上公司垃圾库专用抓斗及监测设备试验研究项目：改造前因季节性变化，垃圾坑存储大量垃圾，导致门前沟容易堵塞，渗滤液不能及时排除，需人员进入疏通渗滤液才能及时排除，抓斗故障时需人员进入垃圾坑查找故障，人员在廊道及垃圾坑内长时间作业时存在安全风险。改造后使用专用抓斗清理门前沟，既保证渗滤液正常排除又排除了人员作业风险；智能检测设备能够实现远程监测抓斗运行情况，在工控机及智能终端设备上监视抓斗各运行参数（油压、温度、毛重、净重、开闭压力、系统压力、环境温度等），出现异常时能够查看抓斗工况，无需人员进入垃圾库内进行排查。</w:t>
      </w:r>
    </w:p>
    <w:p>
      <w:pPr>
        <w:pStyle w:val="37"/>
        <w:jc w:val="center"/>
        <w:rPr>
          <w:rFonts w:hint="default"/>
          <w:lang w:val="en-US" w:eastAsia="zh-CN"/>
        </w:rPr>
      </w:pPr>
      <w:r>
        <w:rPr>
          <w:rFonts w:hint="eastAsia" w:ascii="仿宋" w:hAnsi="仿宋" w:eastAsia="仿宋" w:cs="仿宋"/>
          <w:b/>
          <w:kern w:val="2"/>
          <w:sz w:val="21"/>
          <w:szCs w:val="24"/>
          <w:lang w:val="en-US" w:eastAsia="zh-CN" w:bidi="ar-SA"/>
        </w:rPr>
        <w:drawing>
          <wp:anchor distT="0" distB="0" distL="114300" distR="114300" simplePos="0" relativeHeight="251659264" behindDoc="0" locked="0" layoutInCell="1" allowOverlap="1">
            <wp:simplePos x="0" y="0"/>
            <wp:positionH relativeFrom="column">
              <wp:posOffset>831850</wp:posOffset>
            </wp:positionH>
            <wp:positionV relativeFrom="paragraph">
              <wp:posOffset>71755</wp:posOffset>
            </wp:positionV>
            <wp:extent cx="3630930" cy="2723515"/>
            <wp:effectExtent l="0" t="0" r="7620" b="635"/>
            <wp:wrapTopAndBottom/>
            <wp:docPr id="2" name="图片 2" descr="AA5903C8D67EA8503A0EF56691285930"/>
            <wp:cNvGraphicFramePr/>
            <a:graphic xmlns:a="http://schemas.openxmlformats.org/drawingml/2006/main">
              <a:graphicData uri="http://schemas.openxmlformats.org/drawingml/2006/picture">
                <pic:pic xmlns:pic="http://schemas.openxmlformats.org/drawingml/2006/picture">
                  <pic:nvPicPr>
                    <pic:cNvPr id="2" name="图片 2" descr="AA5903C8D67EA8503A0EF56691285930"/>
                    <pic:cNvPicPr/>
                  </pic:nvPicPr>
                  <pic:blipFill>
                    <a:blip r:embed="rId10"/>
                    <a:stretch>
                      <a:fillRect/>
                    </a:stretch>
                  </pic:blipFill>
                  <pic:spPr>
                    <a:xfrm>
                      <a:off x="0" y="0"/>
                      <a:ext cx="3630930" cy="2723515"/>
                    </a:xfrm>
                    <a:prstGeom prst="rect">
                      <a:avLst/>
                    </a:prstGeom>
                  </pic:spPr>
                </pic:pic>
              </a:graphicData>
            </a:graphic>
          </wp:anchor>
        </w:drawing>
      </w:r>
      <w:r>
        <w:rPr>
          <w:rFonts w:hint="eastAsia" w:ascii="仿宋" w:hAnsi="仿宋" w:eastAsia="仿宋" w:cs="仿宋"/>
          <w:b/>
          <w:kern w:val="2"/>
          <w:sz w:val="21"/>
          <w:szCs w:val="24"/>
          <w:lang w:val="en-US" w:eastAsia="zh-CN" w:bidi="ar-SA"/>
        </w:rPr>
        <w:t>图3垃圾库抓斗智能监测设备</w:t>
      </w:r>
    </w:p>
    <w:p>
      <w:pPr>
        <w:pStyle w:val="37"/>
        <w:ind w:left="0" w:leftChars="0" w:firstLine="0" w:firstLineChars="0"/>
      </w:pPr>
      <w:bookmarkStart w:id="13" w:name="_Toc32933551"/>
      <w:bookmarkStart w:id="14" w:name="_Toc32950329"/>
    </w:p>
    <w:p>
      <w:pPr>
        <w:pStyle w:val="6"/>
        <w:spacing w:before="240" w:after="240"/>
      </w:pPr>
      <w:bookmarkStart w:id="15" w:name="_Toc33176285"/>
      <w:r>
        <w:rPr>
          <w:rFonts w:hint="eastAsia"/>
        </w:rPr>
        <w:t>改革创新</w:t>
      </w:r>
      <w:r>
        <w:t>实践与成效</w:t>
      </w:r>
      <w:bookmarkEnd w:id="13"/>
      <w:bookmarkEnd w:id="14"/>
      <w:bookmarkEnd w:id="15"/>
    </w:p>
    <w:p>
      <w:pPr>
        <w:pStyle w:val="37"/>
      </w:pPr>
      <w:r>
        <w:rPr>
          <w:rFonts w:hint="eastAsia"/>
        </w:rPr>
        <w:t>环保发电公司为进一步提高内部管理水平，规范内部控制，在公司党委的领导下，20</w:t>
      </w:r>
      <w:r>
        <w:rPr>
          <w:rFonts w:hint="eastAsia"/>
          <w:lang w:val="en-US" w:eastAsia="zh-CN"/>
        </w:rPr>
        <w:t>21</w:t>
      </w:r>
      <w:r>
        <w:rPr>
          <w:rFonts w:hint="eastAsia"/>
        </w:rPr>
        <w:t>年在2</w:t>
      </w:r>
      <w:r>
        <w:t>0</w:t>
      </w:r>
      <w:r>
        <w:rPr>
          <w:rFonts w:hint="eastAsia"/>
          <w:lang w:val="en-US" w:eastAsia="zh-CN"/>
        </w:rPr>
        <w:t>20</w:t>
      </w:r>
      <w:r>
        <w:rPr>
          <w:rFonts w:hint="eastAsia"/>
        </w:rPr>
        <w:t>年基础上进一步开展了内部规章制度梳理、修订和完善工作，进一步建立健全了各项内部管理规章制度，进一步规范了企业的经营管理，使企业的各项经济活动和经营管理有章可循。</w:t>
      </w:r>
    </w:p>
    <w:p>
      <w:pPr>
        <w:pStyle w:val="42"/>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环保发电公司在2020年度上线运营的基础上，重点在通用物资种类、规模、范围、质量上下功夫，通用物资种类扩大到包括润滑油脂、五金工具、备品备件（如抓斗配件、阀门、轴承、测温测压元件）、办公物资、日用百货及安全防护等，商城总计商家物资由2020年底的358项增加到现在2200余项。实现了商品目录、采购下单审批权限流程、上架流程的优化配置，编制了《环保发电公司电子商城运行管理手册》，通过一年的使用效果来看，电子商城集中采购、自主采购、去库存化等优点得到了很好的发挥，电子商城采购可视化、业务数据化、物料规范化、协同高效化以及管理统一化等亮点，不仅提高</w:t>
      </w:r>
      <w:r>
        <w:rPr>
          <w:rFonts w:hint="eastAsia" w:ascii="仿宋_GB2312" w:hAnsi="仿宋_GB2312" w:eastAsia="仿宋_GB2312" w:cs="仿宋_GB2312"/>
          <w:sz w:val="32"/>
          <w:szCs w:val="32"/>
          <w:lang w:eastAsia="zh-CN"/>
        </w:rPr>
        <w:drawing>
          <wp:anchor distT="0" distB="0" distL="114300" distR="114300" simplePos="0" relativeHeight="251661312" behindDoc="0" locked="0" layoutInCell="1" allowOverlap="1">
            <wp:simplePos x="0" y="0"/>
            <wp:positionH relativeFrom="column">
              <wp:posOffset>215900</wp:posOffset>
            </wp:positionH>
            <wp:positionV relativeFrom="paragraph">
              <wp:posOffset>298450</wp:posOffset>
            </wp:positionV>
            <wp:extent cx="4834890" cy="2647315"/>
            <wp:effectExtent l="0" t="0" r="3810" b="635"/>
            <wp:wrapNone/>
            <wp:docPr id="4" name="图片 2" descr="NPQNXQ30YWV$3VRO8~_X_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NPQNXQ30YWV$3VRO8~_X_IP"/>
                    <pic:cNvPicPr>
                      <a:picLocks noChangeAspect="1"/>
                    </pic:cNvPicPr>
                  </pic:nvPicPr>
                  <pic:blipFill>
                    <a:blip r:embed="rId11"/>
                    <a:stretch>
                      <a:fillRect/>
                    </a:stretch>
                  </pic:blipFill>
                  <pic:spPr>
                    <a:xfrm>
                      <a:off x="0" y="0"/>
                      <a:ext cx="4834890" cy="2647315"/>
                    </a:xfrm>
                    <a:prstGeom prst="rect">
                      <a:avLst/>
                    </a:prstGeom>
                    <a:noFill/>
                    <a:ln>
                      <a:noFill/>
                    </a:ln>
                  </pic:spPr>
                </pic:pic>
              </a:graphicData>
            </a:graphic>
          </wp:anchor>
        </w:drawing>
      </w:r>
      <w:r>
        <w:rPr>
          <w:rFonts w:hint="eastAsia" w:ascii="仿宋" w:hAnsi="仿宋" w:eastAsia="仿宋" w:cs="Times New Roman"/>
          <w:kern w:val="2"/>
          <w:sz w:val="28"/>
          <w:szCs w:val="28"/>
          <w:lang w:val="en-US" w:eastAsia="zh-CN" w:bidi="ar-SA"/>
        </w:rPr>
        <w:t>了采购效率，更有效节约了成本。</w:t>
      </w:r>
    </w:p>
    <w:p>
      <w:pPr>
        <w:pStyle w:val="42"/>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Times New Roman"/>
          <w:kern w:val="2"/>
          <w:sz w:val="28"/>
          <w:szCs w:val="28"/>
          <w:lang w:val="en-US" w:eastAsia="zh-CN" w:bidi="ar-SA"/>
        </w:rPr>
      </w:pPr>
    </w:p>
    <w:p>
      <w:pPr>
        <w:pStyle w:val="42"/>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Times New Roman"/>
          <w:kern w:val="2"/>
          <w:sz w:val="28"/>
          <w:szCs w:val="28"/>
          <w:lang w:val="en-US" w:eastAsia="zh-CN" w:bidi="ar-SA"/>
        </w:rPr>
      </w:pPr>
    </w:p>
    <w:p>
      <w:pPr>
        <w:pStyle w:val="42"/>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Times New Roman"/>
          <w:kern w:val="2"/>
          <w:sz w:val="28"/>
          <w:szCs w:val="28"/>
          <w:lang w:val="en-US" w:eastAsia="zh-CN" w:bidi="ar-SA"/>
        </w:rPr>
      </w:pPr>
    </w:p>
    <w:p>
      <w:pPr>
        <w:pStyle w:val="42"/>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Times New Roman"/>
          <w:kern w:val="2"/>
          <w:sz w:val="28"/>
          <w:szCs w:val="28"/>
          <w:lang w:val="en-US" w:eastAsia="zh-CN" w:bidi="ar-SA"/>
        </w:rPr>
      </w:pPr>
    </w:p>
    <w:p>
      <w:pPr>
        <w:pStyle w:val="42"/>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Times New Roman"/>
          <w:kern w:val="2"/>
          <w:sz w:val="28"/>
          <w:szCs w:val="28"/>
          <w:lang w:val="en-US" w:eastAsia="zh-CN" w:bidi="ar-SA"/>
        </w:rPr>
      </w:pPr>
    </w:p>
    <w:p>
      <w:pPr>
        <w:pStyle w:val="42"/>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Times New Roman"/>
          <w:kern w:val="2"/>
          <w:sz w:val="28"/>
          <w:szCs w:val="28"/>
          <w:lang w:val="en-US" w:eastAsia="zh-CN" w:bidi="ar-SA"/>
        </w:rPr>
      </w:pPr>
    </w:p>
    <w:p>
      <w:pPr>
        <w:pStyle w:val="42"/>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Times New Roman"/>
          <w:kern w:val="2"/>
          <w:sz w:val="28"/>
          <w:szCs w:val="28"/>
          <w:lang w:val="en-US" w:eastAsia="zh-CN" w:bidi="ar-SA"/>
        </w:rPr>
      </w:pPr>
    </w:p>
    <w:p>
      <w:pPr>
        <w:pStyle w:val="42"/>
        <w:jc w:val="both"/>
      </w:pPr>
    </w:p>
    <w:p>
      <w:pPr>
        <w:pStyle w:val="38"/>
        <w:rPr>
          <w:rFonts w:hint="eastAsia" w:eastAsia="仿宋"/>
          <w:lang w:eastAsia="zh-CN"/>
        </w:rPr>
      </w:pPr>
      <w:r>
        <w:rPr>
          <w:rFonts w:hint="eastAsia"/>
        </w:rPr>
        <w:t>图</w:t>
      </w:r>
      <w:r>
        <w:rPr>
          <w:rFonts w:hint="eastAsia"/>
          <w:lang w:val="en-US" w:eastAsia="zh-CN"/>
        </w:rPr>
        <w:t>4</w:t>
      </w:r>
      <w:r>
        <w:rPr>
          <w:rFonts w:hint="eastAsia"/>
        </w:rPr>
        <w:t xml:space="preserve"> </w:t>
      </w:r>
      <w:r>
        <w:t>环保发电公司</w:t>
      </w:r>
      <w:r>
        <w:rPr>
          <w:rFonts w:hint="eastAsia"/>
          <w:lang w:eastAsia="zh-CN"/>
        </w:rPr>
        <w:t>电子商城</w:t>
      </w:r>
    </w:p>
    <w:p>
      <w:pPr>
        <w:pStyle w:val="37"/>
      </w:pPr>
      <w:r>
        <w:rPr>
          <w:rFonts w:hint="eastAsia" w:ascii="仿宋_GB2312" w:eastAsia="仿宋_GB2312"/>
          <w:color w:val="0D0D0D"/>
          <w:sz w:val="32"/>
          <w:szCs w:val="32"/>
          <w:lang w:eastAsia="zh-CN"/>
        </w:rPr>
        <w:drawing>
          <wp:anchor distT="0" distB="0" distL="114300" distR="114300" simplePos="0" relativeHeight="251662336" behindDoc="0" locked="0" layoutInCell="1" allowOverlap="1">
            <wp:simplePos x="0" y="0"/>
            <wp:positionH relativeFrom="column">
              <wp:posOffset>278130</wp:posOffset>
            </wp:positionH>
            <wp:positionV relativeFrom="paragraph">
              <wp:posOffset>2386330</wp:posOffset>
            </wp:positionV>
            <wp:extent cx="1440180" cy="2160270"/>
            <wp:effectExtent l="0" t="0" r="7620" b="11430"/>
            <wp:wrapNone/>
            <wp:docPr id="5" name="图片 3" descr="93`8NNXZ0YJ`0MUWC_X14IP"/>
            <wp:cNvGraphicFramePr/>
            <a:graphic xmlns:a="http://schemas.openxmlformats.org/drawingml/2006/main">
              <a:graphicData uri="http://schemas.openxmlformats.org/drawingml/2006/picture">
                <pic:pic xmlns:pic="http://schemas.openxmlformats.org/drawingml/2006/picture">
                  <pic:nvPicPr>
                    <pic:cNvPr id="5" name="图片 3" descr="93`8NNXZ0YJ`0MUWC_X14IP"/>
                    <pic:cNvPicPr/>
                  </pic:nvPicPr>
                  <pic:blipFill>
                    <a:blip r:embed="rId12"/>
                    <a:stretch>
                      <a:fillRect/>
                    </a:stretch>
                  </pic:blipFill>
                  <pic:spPr>
                    <a:xfrm>
                      <a:off x="0" y="0"/>
                      <a:ext cx="1440180" cy="2160270"/>
                    </a:xfrm>
                    <a:prstGeom prst="rect">
                      <a:avLst/>
                    </a:prstGeom>
                    <a:noFill/>
                    <a:ln>
                      <a:noFill/>
                    </a:ln>
                  </pic:spPr>
                </pic:pic>
              </a:graphicData>
            </a:graphic>
          </wp:anchor>
        </w:drawing>
      </w:r>
      <w:r>
        <w:rPr>
          <w:rFonts w:hint="eastAsia" w:ascii="仿宋_GB2312" w:eastAsia="仿宋_GB2312"/>
          <w:color w:val="0D0D0D"/>
          <w:sz w:val="32"/>
          <w:szCs w:val="32"/>
          <w:lang w:eastAsia="zh-CN"/>
        </w:rPr>
        <w:drawing>
          <wp:anchor distT="0" distB="0" distL="114300" distR="114300" simplePos="0" relativeHeight="251663360" behindDoc="0" locked="0" layoutInCell="1" allowOverlap="1">
            <wp:simplePos x="0" y="0"/>
            <wp:positionH relativeFrom="column">
              <wp:posOffset>1905635</wp:posOffset>
            </wp:positionH>
            <wp:positionV relativeFrom="paragraph">
              <wp:posOffset>2388235</wp:posOffset>
            </wp:positionV>
            <wp:extent cx="1440180" cy="2160270"/>
            <wp:effectExtent l="0" t="0" r="7620" b="11430"/>
            <wp:wrapNone/>
            <wp:docPr id="6" name="图片 4" descr="V1J`O8]CYX__M[7373BSBNY"/>
            <wp:cNvGraphicFramePr/>
            <a:graphic xmlns:a="http://schemas.openxmlformats.org/drawingml/2006/main">
              <a:graphicData uri="http://schemas.openxmlformats.org/drawingml/2006/picture">
                <pic:pic xmlns:pic="http://schemas.openxmlformats.org/drawingml/2006/picture">
                  <pic:nvPicPr>
                    <pic:cNvPr id="6" name="图片 4" descr="V1J`O8]CYX__M[7373BSBNY"/>
                    <pic:cNvPicPr/>
                  </pic:nvPicPr>
                  <pic:blipFill>
                    <a:blip r:embed="rId13"/>
                    <a:stretch>
                      <a:fillRect/>
                    </a:stretch>
                  </pic:blipFill>
                  <pic:spPr>
                    <a:xfrm>
                      <a:off x="0" y="0"/>
                      <a:ext cx="1440180" cy="2160270"/>
                    </a:xfrm>
                    <a:prstGeom prst="rect">
                      <a:avLst/>
                    </a:prstGeom>
                    <a:noFill/>
                    <a:ln>
                      <a:noFill/>
                    </a:ln>
                  </pic:spPr>
                </pic:pic>
              </a:graphicData>
            </a:graphic>
          </wp:anchor>
        </w:drawing>
      </w:r>
      <w:r>
        <w:rPr>
          <w:rFonts w:hint="eastAsia" w:ascii="仿宋_GB2312" w:eastAsia="仿宋_GB2312"/>
          <w:color w:val="0D0D0D"/>
          <w:sz w:val="32"/>
          <w:szCs w:val="32"/>
          <w:lang w:eastAsia="zh-CN"/>
        </w:rPr>
        <w:drawing>
          <wp:anchor distT="0" distB="0" distL="114300" distR="114300" simplePos="0" relativeHeight="251664384" behindDoc="0" locked="0" layoutInCell="1" allowOverlap="1">
            <wp:simplePos x="0" y="0"/>
            <wp:positionH relativeFrom="column">
              <wp:posOffset>3529965</wp:posOffset>
            </wp:positionH>
            <wp:positionV relativeFrom="paragraph">
              <wp:posOffset>2392680</wp:posOffset>
            </wp:positionV>
            <wp:extent cx="1440180" cy="2160270"/>
            <wp:effectExtent l="0" t="0" r="7620" b="11430"/>
            <wp:wrapNone/>
            <wp:docPr id="7" name="图片 5" descr="UO5KZ@67$FY%4{V9L]{AP(X"/>
            <wp:cNvGraphicFramePr/>
            <a:graphic xmlns:a="http://schemas.openxmlformats.org/drawingml/2006/main">
              <a:graphicData uri="http://schemas.openxmlformats.org/drawingml/2006/picture">
                <pic:pic xmlns:pic="http://schemas.openxmlformats.org/drawingml/2006/picture">
                  <pic:nvPicPr>
                    <pic:cNvPr id="7" name="图片 5" descr="UO5KZ@67$FY%4{V9L]{AP(X"/>
                    <pic:cNvPicPr/>
                  </pic:nvPicPr>
                  <pic:blipFill>
                    <a:blip r:embed="rId14"/>
                    <a:stretch>
                      <a:fillRect/>
                    </a:stretch>
                  </pic:blipFill>
                  <pic:spPr>
                    <a:xfrm>
                      <a:off x="0" y="0"/>
                      <a:ext cx="1440180" cy="2160270"/>
                    </a:xfrm>
                    <a:prstGeom prst="rect">
                      <a:avLst/>
                    </a:prstGeom>
                    <a:noFill/>
                    <a:ln>
                      <a:noFill/>
                    </a:ln>
                  </pic:spPr>
                </pic:pic>
              </a:graphicData>
            </a:graphic>
          </wp:anchor>
        </w:drawing>
      </w:r>
      <w:r>
        <w:rPr>
          <w:rFonts w:hint="eastAsia"/>
          <w:lang w:eastAsia="zh-CN"/>
        </w:rPr>
        <w:t>招标采购方面，环保发电公司</w:t>
      </w:r>
      <w:r>
        <w:rPr>
          <w:rFonts w:hint="eastAsia"/>
          <w:lang w:val="en-US" w:eastAsia="zh-CN"/>
        </w:rPr>
        <w:t>2021年度共</w:t>
      </w:r>
      <w:r>
        <w:rPr>
          <w:rFonts w:hint="eastAsia"/>
        </w:rPr>
        <w:t>修订制度1项、新建制度5项、补充规定2项，具体包括：修订《供应商管理办法》、新建《科技创新项目研发单位采购管理办法（试行）》、《供应商评价标准》、《集中招标采购结果资料移交管理规定》、《评标委员会、评审、谈判小组人员组成管理规定》、《招标采购限价管理办法（试行）》5项制度，对《招标采购计划管理办法》、《紧急采购管理办法》2项制度进行了补充规定。</w:t>
      </w:r>
    </w:p>
    <w:p>
      <w:pPr>
        <w:pStyle w:val="37"/>
      </w:pPr>
    </w:p>
    <w:p>
      <w:pPr>
        <w:pStyle w:val="37"/>
      </w:pPr>
    </w:p>
    <w:p>
      <w:pPr>
        <w:pStyle w:val="37"/>
      </w:pPr>
    </w:p>
    <w:p>
      <w:pPr>
        <w:pStyle w:val="37"/>
      </w:pPr>
    </w:p>
    <w:p>
      <w:pPr>
        <w:pStyle w:val="37"/>
        <w:rPr>
          <w:rFonts w:hint="eastAsia"/>
        </w:rPr>
      </w:pPr>
    </w:p>
    <w:p>
      <w:pPr>
        <w:pStyle w:val="37"/>
        <w:ind w:left="0" w:leftChars="0" w:firstLine="0" w:firstLineChars="0"/>
        <w:rPr>
          <w:rFonts w:hint="eastAsia"/>
        </w:rPr>
      </w:pPr>
    </w:p>
    <w:p>
      <w:pPr>
        <w:pStyle w:val="38"/>
        <w:rPr>
          <w:rFonts w:hint="eastAsia" w:ascii="Times New Roman" w:hAnsi="Times New Roman" w:cs="Times New Roman"/>
          <w:lang w:eastAsia="zh-CN"/>
        </w:rPr>
      </w:pPr>
    </w:p>
    <w:p>
      <w:pPr>
        <w:pStyle w:val="38"/>
        <w:rPr>
          <w:rFonts w:hint="default" w:ascii="Times New Roman" w:hAnsi="Times New Roman" w:cs="Times New Roman"/>
          <w:lang w:val="en-US" w:eastAsia="zh-CN"/>
        </w:rPr>
      </w:pPr>
      <w:r>
        <w:rPr>
          <w:rFonts w:hint="eastAsia" w:ascii="Times New Roman" w:hAnsi="Times New Roman" w:cs="Times New Roman"/>
          <w:lang w:eastAsia="zh-CN"/>
        </w:rPr>
        <w:t>图</w:t>
      </w:r>
      <w:r>
        <w:rPr>
          <w:rFonts w:hint="eastAsia" w:ascii="Times New Roman" w:hAnsi="Times New Roman" w:cs="Times New Roman"/>
          <w:lang w:val="en-US" w:eastAsia="zh-CN"/>
        </w:rPr>
        <w:t>5 完善的各项制度</w:t>
      </w:r>
    </w:p>
    <w:p>
      <w:pPr>
        <w:spacing w:line="580" w:lineRule="exact"/>
        <w:ind w:firstLine="560" w:firstLineChars="200"/>
        <w:rPr>
          <w:rFonts w:hint="eastAsia" w:ascii="仿宋" w:hAnsi="仿宋" w:eastAsia="仿宋" w:cs="Times New Roman"/>
          <w:kern w:val="2"/>
          <w:sz w:val="28"/>
          <w:szCs w:val="28"/>
          <w:lang w:val="en-US" w:eastAsia="zh-CN" w:bidi="ar-SA"/>
        </w:rPr>
      </w:pPr>
      <w:bookmarkStart w:id="16" w:name="_Toc33176286"/>
      <w:bookmarkStart w:id="17" w:name="_Toc32933552"/>
      <w:bookmarkStart w:id="18" w:name="_Toc32950330"/>
      <w:r>
        <w:rPr>
          <w:rFonts w:hint="eastAsia" w:ascii="仿宋" w:hAnsi="仿宋" w:eastAsia="仿宋" w:cs="Times New Roman"/>
          <w:kern w:val="2"/>
          <w:sz w:val="28"/>
          <w:szCs w:val="28"/>
          <w:lang w:val="en-US" w:eastAsia="zh-CN" w:bidi="ar-SA"/>
        </w:rPr>
        <w:t>好的制度是企业立足的根本，是改进工作作风，提高工作效率，强化责任落实的必要条件和重要保障。长丰生物质公司在保障生产运行的同时，根据工作需要和借鉴环保公司各项制度的指导下，结合公司实际情况，先后制定了公司《信息安全与保障管理制度》、《督办工作制度》、《会议管理制度》、《总经理办公会议事规则》、修订《发电运行部管理制度汇编》、《集控运行规程》、《化学运行规程》、《突发事件应急预案》等相关规章制度等多项制度，并印发执行。做到有规可依、有章可循，努力实现各项管理的规范化、标准化、制度化。</w:t>
      </w:r>
    </w:p>
    <w:bookmarkEnd w:id="16"/>
    <w:bookmarkEnd w:id="17"/>
    <w:bookmarkEnd w:id="18"/>
    <w:p>
      <w:pPr>
        <w:sectPr>
          <w:pgSz w:w="11906" w:h="16838"/>
          <w:pgMar w:top="1440" w:right="1797" w:bottom="1440" w:left="1797" w:header="851" w:footer="992" w:gutter="0"/>
          <w:cols w:space="425" w:num="1"/>
          <w:docGrid w:linePitch="312" w:charSpace="0"/>
        </w:sectPr>
      </w:pPr>
      <w:bookmarkStart w:id="19" w:name="_Toc32933553"/>
    </w:p>
    <w:p>
      <w:pPr>
        <w:pStyle w:val="5"/>
        <w:spacing w:before="240" w:after="240"/>
      </w:pPr>
      <w:bookmarkStart w:id="20" w:name="_Toc32950331"/>
      <w:bookmarkStart w:id="21" w:name="_Toc33176287"/>
      <w:r>
        <w:rPr>
          <w:rFonts w:hint="eastAsia"/>
        </w:rPr>
        <w:t>协调发展</w:t>
      </w:r>
      <w:bookmarkEnd w:id="19"/>
      <w:bookmarkEnd w:id="20"/>
      <w:bookmarkEnd w:id="21"/>
    </w:p>
    <w:p>
      <w:pPr>
        <w:pStyle w:val="6"/>
        <w:spacing w:before="240" w:after="240"/>
      </w:pPr>
      <w:bookmarkStart w:id="22" w:name="_Toc32950332"/>
      <w:bookmarkStart w:id="23" w:name="_Toc33176288"/>
      <w:bookmarkStart w:id="24" w:name="_Toc32933554"/>
      <w:r>
        <w:rPr>
          <w:rFonts w:hint="eastAsia"/>
        </w:rPr>
        <w:t>诚信经营</w:t>
      </w:r>
      <w:bookmarkEnd w:id="22"/>
      <w:bookmarkEnd w:id="23"/>
      <w:bookmarkEnd w:id="24"/>
    </w:p>
    <w:p>
      <w:pPr>
        <w:pStyle w:val="37"/>
        <w:rPr>
          <w:b/>
        </w:rPr>
      </w:pPr>
      <w:r>
        <w:rPr>
          <w:rFonts w:hint="eastAsia"/>
        </w:rPr>
        <w:t>企业发展离不开社会的支持，离不开公众的认可，更离不开自身的诚实守信。随着时代的发展，品牌的影响力已不容忽视，而品牌的建立基础是诚信。诚信是企业经营的一种资本，是企业发展的无形推动力，对企业的长远发展具有巨大的促进作用。因此，依靠诚信经营，树立企业良好形象，进而提升企业竞争能力已成为企业发展所必须具备的前提条件。诚信的内涵也正向更深层次发展，它是建立在公民意识之上的一种“公德”，它包括对社会的诚信，对员工的诚信、对合作伙伴的诚信</w:t>
      </w:r>
      <w:r>
        <w:rPr>
          <w:rFonts w:hint="eastAsia"/>
          <w:b/>
        </w:rPr>
        <w:t>。</w:t>
      </w:r>
    </w:p>
    <w:p>
      <w:pPr>
        <w:pStyle w:val="37"/>
        <w:rPr>
          <w:rFonts w:cs="Arial"/>
          <w:color w:val="000000"/>
          <w:shd w:val="clear" w:color="auto" w:fill="FFFFFF"/>
        </w:rPr>
      </w:pPr>
      <w:r>
        <w:rPr>
          <w:rFonts w:hint="eastAsia"/>
        </w:rPr>
        <w:t>为了使公司在规模、质量和类别上满足社会有关各方面的需要，提高企业的信用意识和信用管理水平，降低企业交易成本，提高企业资源配置效率，形成良好的信用秩序和信用环境，有力地推动信用交易的扩大和经济的发展。</w:t>
      </w:r>
      <w:r>
        <w:rPr>
          <w:rFonts w:hint="eastAsia" w:cs="Arial"/>
          <w:shd w:val="clear" w:color="auto" w:fill="FFFFFF"/>
        </w:rPr>
        <w:t>环保发电公司</w:t>
      </w:r>
      <w:r>
        <w:rPr>
          <w:rFonts w:hint="eastAsia" w:cs="Arial"/>
          <w:color w:val="000000"/>
          <w:shd w:val="clear" w:color="auto" w:fill="FFFFFF"/>
        </w:rPr>
        <w:t>不断加强全面预算管理，从绩效目标分解、预算完成情况的统计及跟踪、重要指标的监控、考核评价及整改等方面加大工作力度，实现了全面预算的闭环管理，充分发挥了全面预算管理统领作用。积极</w:t>
      </w:r>
      <w:r>
        <w:rPr>
          <w:rFonts w:hint="eastAsia"/>
        </w:rPr>
        <w:t>了解政府对企业的扶持政策和优惠政策，</w:t>
      </w:r>
      <w:r>
        <w:rPr>
          <w:rFonts w:hint="eastAsia" w:cs="Arial"/>
          <w:color w:val="000000"/>
          <w:shd w:val="clear" w:color="auto" w:fill="FFFFFF"/>
        </w:rPr>
        <w:t>做</w:t>
      </w:r>
      <w:r>
        <w:rPr>
          <w:rFonts w:hint="eastAsia"/>
        </w:rPr>
        <w:t>好增值税的及征及退返还工作，申报中央预算内资金，</w:t>
      </w:r>
      <w:r>
        <w:rPr>
          <w:rFonts w:hint="eastAsia" w:cs="Arial"/>
          <w:color w:val="000000"/>
          <w:shd w:val="clear" w:color="auto" w:fill="FFFFFF"/>
        </w:rPr>
        <w:t>保证资金供应，控制资金成本，积极履行企业责任，按时足额缴纳税费。公司始终把加强资金管理，</w:t>
      </w:r>
      <w:r>
        <w:rPr>
          <w:rFonts w:hint="eastAsia"/>
        </w:rPr>
        <w:t>强化过程控制，针对货币资金使用，定期对公司货币资金进行内部自查、自检工作，保证资金收付安全、准确，</w:t>
      </w:r>
      <w:r>
        <w:rPr>
          <w:rFonts w:hint="eastAsia" w:cs="Arial"/>
          <w:color w:val="000000"/>
          <w:shd w:val="clear" w:color="auto" w:fill="FFFFFF"/>
        </w:rPr>
        <w:t>确保生产经营目标的实现作为第一要务。</w:t>
      </w:r>
    </w:p>
    <w:p>
      <w:pPr>
        <w:pStyle w:val="6"/>
        <w:spacing w:before="240" w:after="240"/>
        <w:rPr>
          <w:shd w:val="clear" w:color="auto" w:fill="FFFFFF"/>
        </w:rPr>
      </w:pPr>
      <w:bookmarkStart w:id="25" w:name="_Toc33176289"/>
      <w:bookmarkStart w:id="26" w:name="_Toc32950333"/>
      <w:bookmarkStart w:id="27" w:name="_Toc32933555"/>
      <w:r>
        <w:rPr>
          <w:rFonts w:hint="eastAsia"/>
          <w:shd w:val="clear" w:color="auto" w:fill="FFFFFF"/>
        </w:rPr>
        <w:t>责任经营</w:t>
      </w:r>
      <w:bookmarkEnd w:id="25"/>
      <w:bookmarkEnd w:id="26"/>
      <w:bookmarkEnd w:id="27"/>
    </w:p>
    <w:p>
      <w:pPr>
        <w:pStyle w:val="37"/>
        <w:rPr>
          <w:shd w:val="clear" w:color="auto" w:fill="FFFFFF"/>
        </w:rPr>
      </w:pPr>
      <w:r>
        <w:rPr>
          <w:shd w:val="clear" w:color="auto" w:fill="FFFFFF"/>
        </w:rPr>
        <w:t>20</w:t>
      </w:r>
      <w:r>
        <w:rPr>
          <w:rFonts w:hint="eastAsia"/>
          <w:shd w:val="clear" w:color="auto" w:fill="FFFFFF"/>
          <w:lang w:val="en-US" w:eastAsia="zh-CN"/>
        </w:rPr>
        <w:t>21</w:t>
      </w:r>
      <w:r>
        <w:rPr>
          <w:shd w:val="clear" w:color="auto" w:fill="FFFFFF"/>
        </w:rPr>
        <w:t>年度，环保发电公司夯实垃圾焚烧发电的主营业务，在保证稳定运营的同时，积极研究并拓展上下游产业链纵向延伸，全面有序推进其他在建及筹建的垃圾焚烧发电项目，把握好稳增长与促转型的平衡，处理好扩规模 与争效益的关系，稳中求进，以进促稳，推进公司可持续高质量发展。</w:t>
      </w:r>
    </w:p>
    <w:p>
      <w:pPr>
        <w:pStyle w:val="37"/>
        <w:rPr>
          <w:rFonts w:hint="default" w:eastAsia="仿宋" w:cs="Arial"/>
          <w:shd w:val="clear" w:color="auto" w:fill="FFFFFF"/>
          <w:lang w:val="en-US" w:eastAsia="zh-CN"/>
        </w:rPr>
      </w:pPr>
      <w:r>
        <w:rPr>
          <w:rFonts w:hint="eastAsia" w:cs="Arial"/>
          <w:shd w:val="clear" w:color="auto" w:fill="FFFFFF"/>
        </w:rPr>
        <w:t>环保发电公司20</w:t>
      </w:r>
      <w:r>
        <w:rPr>
          <w:rFonts w:hint="eastAsia" w:cs="Arial"/>
          <w:shd w:val="clear" w:color="auto" w:fill="FFFFFF"/>
          <w:lang w:val="en-US" w:eastAsia="zh-CN"/>
        </w:rPr>
        <w:t>21</w:t>
      </w:r>
      <w:r>
        <w:rPr>
          <w:rFonts w:hint="eastAsia" w:cs="Arial"/>
          <w:shd w:val="clear" w:color="auto" w:fill="FFFFFF"/>
        </w:rPr>
        <w:t>年积极落实与政府签订的各项协议，履行国企的责任，让政府放心；同时积极推进项目按期开工、按期建设。</w:t>
      </w:r>
      <w:r>
        <w:rPr>
          <w:rFonts w:cs="Arial"/>
          <w:shd w:val="clear" w:color="auto" w:fill="FFFFFF"/>
        </w:rPr>
        <w:t>20</w:t>
      </w:r>
      <w:r>
        <w:rPr>
          <w:rFonts w:hint="eastAsia" w:cs="Arial"/>
          <w:shd w:val="clear" w:color="auto" w:fill="FFFFFF"/>
          <w:lang w:val="en-US" w:eastAsia="zh-CN"/>
        </w:rPr>
        <w:t>21</w:t>
      </w:r>
      <w:r>
        <w:rPr>
          <w:rFonts w:cs="Arial"/>
          <w:shd w:val="clear" w:color="auto" w:fill="FFFFFF"/>
        </w:rPr>
        <w:t>年</w:t>
      </w:r>
      <w:r>
        <w:rPr>
          <w:rFonts w:hint="eastAsia" w:cs="Arial"/>
          <w:shd w:val="clear" w:color="auto" w:fill="FFFFFF"/>
        </w:rPr>
        <w:t>环保发电公司</w:t>
      </w:r>
      <w:r>
        <w:rPr>
          <w:rFonts w:cs="Arial"/>
          <w:shd w:val="clear" w:color="auto" w:fill="FFFFFF"/>
        </w:rPr>
        <w:t>共有</w:t>
      </w:r>
      <w:r>
        <w:rPr>
          <w:rFonts w:hint="eastAsia" w:cs="Arial"/>
          <w:shd w:val="clear" w:color="auto" w:fill="FFFFFF"/>
          <w:lang w:val="en-US" w:eastAsia="zh-CN"/>
        </w:rPr>
        <w:t>1</w:t>
      </w:r>
      <w:r>
        <w:rPr>
          <w:rFonts w:cs="Arial"/>
          <w:shd w:val="clear" w:color="auto" w:fill="FFFFFF"/>
        </w:rPr>
        <w:t>个项目顺利开工建设：</w:t>
      </w:r>
      <w:r>
        <w:rPr>
          <w:rFonts w:hint="eastAsia" w:cs="Arial"/>
          <w:shd w:val="clear" w:color="auto" w:fill="FFFFFF"/>
          <w:lang w:val="en-US" w:eastAsia="zh-CN"/>
        </w:rPr>
        <w:t>安庆三期</w:t>
      </w:r>
      <w:r>
        <w:rPr>
          <w:rFonts w:cs="Arial"/>
          <w:shd w:val="clear" w:color="auto" w:fill="FFFFFF"/>
        </w:rPr>
        <w:t>；20</w:t>
      </w:r>
      <w:r>
        <w:rPr>
          <w:rFonts w:hint="eastAsia" w:cs="Arial"/>
          <w:shd w:val="clear" w:color="auto" w:fill="FFFFFF"/>
          <w:lang w:val="en-US" w:eastAsia="zh-CN"/>
        </w:rPr>
        <w:t>21</w:t>
      </w:r>
      <w:r>
        <w:rPr>
          <w:rFonts w:cs="Arial"/>
          <w:shd w:val="clear" w:color="auto" w:fill="FFFFFF"/>
        </w:rPr>
        <w:t>年共有</w:t>
      </w:r>
      <w:r>
        <w:rPr>
          <w:rFonts w:hint="eastAsia" w:cs="Arial"/>
          <w:shd w:val="clear" w:color="auto" w:fill="FFFFFF"/>
          <w:lang w:val="en-US" w:eastAsia="zh-CN"/>
        </w:rPr>
        <w:t>3</w:t>
      </w:r>
      <w:r>
        <w:rPr>
          <w:rFonts w:cs="Arial"/>
          <w:shd w:val="clear" w:color="auto" w:fill="FFFFFF"/>
        </w:rPr>
        <w:t>个项目顺利投产运营：</w:t>
      </w:r>
      <w:r>
        <w:rPr>
          <w:rFonts w:hint="eastAsia" w:cs="Arial"/>
          <w:shd w:val="clear" w:color="auto" w:fill="FFFFFF"/>
          <w:lang w:val="en-US" w:eastAsia="zh-CN"/>
        </w:rPr>
        <w:t>龙泉山、宿州二期、长丰生物质项目；</w:t>
      </w:r>
      <w:r>
        <w:rPr>
          <w:rFonts w:cs="Arial"/>
          <w:shd w:val="clear" w:color="auto" w:fill="FFFFFF"/>
        </w:rPr>
        <w:t>20</w:t>
      </w:r>
      <w:r>
        <w:rPr>
          <w:rFonts w:hint="eastAsia" w:cs="Arial"/>
          <w:shd w:val="clear" w:color="auto" w:fill="FFFFFF"/>
          <w:lang w:val="en-US" w:eastAsia="zh-CN"/>
        </w:rPr>
        <w:t>21</w:t>
      </w:r>
      <w:r>
        <w:rPr>
          <w:rFonts w:cs="Arial"/>
          <w:shd w:val="clear" w:color="auto" w:fill="FFFFFF"/>
        </w:rPr>
        <w:t>年共有</w:t>
      </w:r>
      <w:r>
        <w:rPr>
          <w:rFonts w:hint="eastAsia" w:cs="Arial"/>
          <w:shd w:val="clear" w:color="auto" w:fill="FFFFFF"/>
          <w:lang w:val="en-US" w:eastAsia="zh-CN"/>
        </w:rPr>
        <w:t>1</w:t>
      </w:r>
      <w:r>
        <w:rPr>
          <w:rFonts w:cs="Arial"/>
          <w:shd w:val="clear" w:color="auto" w:fill="FFFFFF"/>
        </w:rPr>
        <w:t>个项目</w:t>
      </w:r>
      <w:r>
        <w:rPr>
          <w:rFonts w:hint="eastAsia" w:cs="Arial"/>
          <w:shd w:val="clear" w:color="auto" w:fill="FFFFFF"/>
          <w:lang w:val="en-US" w:eastAsia="zh-CN"/>
        </w:rPr>
        <w:t>提前</w:t>
      </w:r>
      <w:r>
        <w:rPr>
          <w:rFonts w:cs="Arial"/>
          <w:shd w:val="clear" w:color="auto" w:fill="FFFFFF"/>
        </w:rPr>
        <w:t>投产运营</w:t>
      </w:r>
      <w:r>
        <w:rPr>
          <w:rFonts w:hint="eastAsia" w:cs="Arial"/>
          <w:shd w:val="clear" w:color="auto" w:fill="FFFFFF"/>
          <w:lang w:eastAsia="zh-CN"/>
        </w:rPr>
        <w:t>：</w:t>
      </w:r>
      <w:r>
        <w:rPr>
          <w:rFonts w:hint="eastAsia" w:cs="Arial"/>
          <w:shd w:val="clear" w:color="auto" w:fill="FFFFFF"/>
          <w:lang w:val="en-US" w:eastAsia="zh-CN"/>
        </w:rPr>
        <w:t>宿州二期</w:t>
      </w:r>
      <w:r>
        <w:rPr>
          <w:rFonts w:cs="Arial"/>
          <w:shd w:val="clear" w:color="auto" w:fill="FFFFFF"/>
        </w:rPr>
        <w:t>。</w:t>
      </w:r>
    </w:p>
    <w:p>
      <w:pPr>
        <w:pStyle w:val="38"/>
        <w:rPr>
          <w:rFonts w:hint="default" w:ascii="Times New Roman" w:hAnsi="Times New Roman" w:cs="Times New Roman"/>
          <w:lang w:val="en-US" w:eastAsia="zh-CN"/>
        </w:rPr>
      </w:pPr>
      <w:r>
        <w:rPr>
          <w:rFonts w:hint="eastAsia" w:ascii="Times New Roman" w:hAnsi="Times New Roman" w:cs="Times New Roman"/>
          <w:lang w:eastAsia="zh-CN"/>
        </w:rPr>
        <w:drawing>
          <wp:anchor distT="0" distB="0" distL="114300" distR="114300" simplePos="0" relativeHeight="251665408" behindDoc="0" locked="0" layoutInCell="1" allowOverlap="1">
            <wp:simplePos x="0" y="0"/>
            <wp:positionH relativeFrom="column">
              <wp:posOffset>798195</wp:posOffset>
            </wp:positionH>
            <wp:positionV relativeFrom="paragraph">
              <wp:posOffset>40005</wp:posOffset>
            </wp:positionV>
            <wp:extent cx="3599815" cy="2160270"/>
            <wp:effectExtent l="0" t="0" r="635" b="11430"/>
            <wp:wrapTopAndBottom/>
            <wp:docPr id="24585" name="图片 7" descr="C:/Users/xiliu/AppData/Local/Temp/picturecompress_20220113160503/output_1.jpgoutput_1"/>
            <wp:cNvGraphicFramePr/>
            <a:graphic xmlns:a="http://schemas.openxmlformats.org/drawingml/2006/main">
              <a:graphicData uri="http://schemas.openxmlformats.org/drawingml/2006/picture">
                <pic:pic xmlns:pic="http://schemas.openxmlformats.org/drawingml/2006/picture">
                  <pic:nvPicPr>
                    <pic:cNvPr id="24585" name="图片 7" descr="C:/Users/xiliu/AppData/Local/Temp/picturecompress_20220113160503/output_1.jpgoutput_1"/>
                    <pic:cNvPicPr/>
                  </pic:nvPicPr>
                  <pic:blipFill>
                    <a:blip r:embed="rId15"/>
                    <a:stretch>
                      <a:fillRect/>
                    </a:stretch>
                  </pic:blipFill>
                  <pic:spPr>
                    <a:xfrm>
                      <a:off x="0" y="0"/>
                      <a:ext cx="3599815" cy="2160270"/>
                    </a:xfrm>
                    <a:prstGeom prst="rect">
                      <a:avLst/>
                    </a:prstGeom>
                    <a:noFill/>
                    <a:ln w="9525">
                      <a:noFill/>
                    </a:ln>
                  </pic:spPr>
                </pic:pic>
              </a:graphicData>
            </a:graphic>
          </wp:anchor>
        </w:drawing>
      </w:r>
      <w:r>
        <w:rPr>
          <w:rFonts w:hint="eastAsia" w:ascii="Times New Roman" w:hAnsi="Times New Roman" w:cs="Times New Roman"/>
          <w:lang w:eastAsia="zh-CN"/>
        </w:rPr>
        <w:t>图</w:t>
      </w:r>
      <w:r>
        <w:rPr>
          <w:rFonts w:hint="eastAsia" w:ascii="Times New Roman" w:hAnsi="Times New Roman" w:cs="Times New Roman"/>
          <w:lang w:val="en-US" w:eastAsia="zh-CN"/>
        </w:rPr>
        <w:t>6 安庆公司三期开工仪式</w:t>
      </w:r>
    </w:p>
    <w:p>
      <w:pPr>
        <w:pStyle w:val="38"/>
        <w:rPr>
          <w:rFonts w:hint="eastAsia" w:ascii="Times New Roman" w:hAnsi="Times New Roman" w:cs="Times New Roman"/>
          <w:lang w:val="en-US" w:eastAsia="zh-CN"/>
        </w:rPr>
      </w:pPr>
      <w:r>
        <w:drawing>
          <wp:anchor distT="0" distB="0" distL="114300" distR="114300" simplePos="0" relativeHeight="251666432" behindDoc="0" locked="0" layoutInCell="1" allowOverlap="1">
            <wp:simplePos x="0" y="0"/>
            <wp:positionH relativeFrom="column">
              <wp:posOffset>814705</wp:posOffset>
            </wp:positionH>
            <wp:positionV relativeFrom="paragraph">
              <wp:posOffset>128905</wp:posOffset>
            </wp:positionV>
            <wp:extent cx="3599815" cy="2160270"/>
            <wp:effectExtent l="0" t="0" r="635" b="11430"/>
            <wp:wrapTopAndBottom/>
            <wp:docPr id="14344" name="图片 6"/>
            <wp:cNvGraphicFramePr/>
            <a:graphic xmlns:a="http://schemas.openxmlformats.org/drawingml/2006/main">
              <a:graphicData uri="http://schemas.openxmlformats.org/drawingml/2006/picture">
                <pic:pic xmlns:pic="http://schemas.openxmlformats.org/drawingml/2006/picture">
                  <pic:nvPicPr>
                    <pic:cNvPr id="14344" name="图片 6"/>
                    <pic:cNvPicPr/>
                  </pic:nvPicPr>
                  <pic:blipFill>
                    <a:blip r:embed="rId16"/>
                    <a:stretch>
                      <a:fillRect/>
                    </a:stretch>
                  </pic:blipFill>
                  <pic:spPr>
                    <a:xfrm>
                      <a:off x="0" y="0"/>
                      <a:ext cx="3599815" cy="2160270"/>
                    </a:xfrm>
                    <a:prstGeom prst="rect">
                      <a:avLst/>
                    </a:prstGeom>
                    <a:noFill/>
                    <a:ln w="9525">
                      <a:noFill/>
                    </a:ln>
                  </pic:spPr>
                </pic:pic>
              </a:graphicData>
            </a:graphic>
          </wp:anchor>
        </w:drawing>
      </w:r>
      <w:r>
        <w:rPr>
          <w:rFonts w:hint="eastAsia" w:ascii="Times New Roman" w:hAnsi="Times New Roman" w:cs="Times New Roman"/>
          <w:lang w:eastAsia="zh-CN"/>
        </w:rPr>
        <w:t>图</w:t>
      </w:r>
      <w:r>
        <w:rPr>
          <w:rFonts w:hint="eastAsia" w:ascii="Times New Roman" w:hAnsi="Times New Roman" w:cs="Times New Roman"/>
          <w:lang w:val="en-US" w:eastAsia="zh-CN"/>
        </w:rPr>
        <w:t>7 宿州公司二期投产运营</w:t>
      </w:r>
    </w:p>
    <w:p>
      <w:pPr>
        <w:pStyle w:val="38"/>
        <w:ind w:firstLine="560" w:firstLineChars="200"/>
        <w:jc w:val="left"/>
        <w:rPr>
          <w:rFonts w:hint="default" w:ascii="仿宋" w:hAnsi="仿宋" w:eastAsia="仿宋" w:cs="Arial"/>
          <w:b w:val="0"/>
          <w:kern w:val="2"/>
          <w:sz w:val="28"/>
          <w:szCs w:val="28"/>
          <w:shd w:val="clear" w:color="auto" w:fill="FFFFFF"/>
          <w:lang w:val="en-US" w:eastAsia="zh-CN" w:bidi="ar-SA"/>
        </w:rPr>
      </w:pPr>
    </w:p>
    <w:p>
      <w:pPr>
        <w:pStyle w:val="38"/>
        <w:ind w:firstLine="560" w:firstLineChars="200"/>
        <w:jc w:val="left"/>
        <w:rPr>
          <w:rFonts w:hint="default" w:ascii="仿宋" w:hAnsi="仿宋" w:eastAsia="仿宋" w:cs="Arial"/>
          <w:b w:val="0"/>
          <w:kern w:val="2"/>
          <w:sz w:val="28"/>
          <w:szCs w:val="28"/>
          <w:shd w:val="clear" w:color="auto" w:fill="FFFFFF"/>
          <w:lang w:val="en-US" w:eastAsia="zh-CN" w:bidi="ar-SA"/>
        </w:rPr>
      </w:pPr>
      <w:r>
        <w:rPr>
          <w:rFonts w:hint="default" w:ascii="仿宋" w:hAnsi="仿宋" w:eastAsia="仿宋" w:cs="Arial"/>
          <w:b w:val="0"/>
          <w:kern w:val="2"/>
          <w:sz w:val="28"/>
          <w:szCs w:val="28"/>
          <w:shd w:val="clear" w:color="auto" w:fill="FFFFFF"/>
          <w:lang w:val="en-US" w:eastAsia="zh-CN" w:bidi="ar-SA"/>
        </w:rPr>
        <w:t>合肥龙泉山垃圾焚烧发电项目是安徽省最大的垃圾焚烧发电项目，日处理生活垃圾3000t，投产后实现了合肥市生活垃圾处理“零填埋”的目标，标志着合肥市生活垃圾处理真正达到了“无害化”、“减量化”、“资源化”。</w:t>
      </w:r>
    </w:p>
    <w:p>
      <w:pPr>
        <w:pStyle w:val="38"/>
        <w:rPr>
          <w:rFonts w:hint="eastAsia"/>
          <w:shd w:val="clear" w:color="auto" w:fill="FFFFFF"/>
        </w:rPr>
      </w:pPr>
      <w:r>
        <w:rPr>
          <w:rFonts w:hint="eastAsia" w:ascii="Times New Roman" w:hAnsi="Times New Roman" w:cs="Times New Roman"/>
          <w:lang w:eastAsia="zh-CN"/>
        </w:rPr>
        <w:drawing>
          <wp:anchor distT="0" distB="0" distL="114300" distR="114300" simplePos="0" relativeHeight="251667456" behindDoc="0" locked="0" layoutInCell="1" allowOverlap="1">
            <wp:simplePos x="0" y="0"/>
            <wp:positionH relativeFrom="column">
              <wp:posOffset>798830</wp:posOffset>
            </wp:positionH>
            <wp:positionV relativeFrom="paragraph">
              <wp:posOffset>142875</wp:posOffset>
            </wp:positionV>
            <wp:extent cx="3599815" cy="2520315"/>
            <wp:effectExtent l="0" t="0" r="635" b="13335"/>
            <wp:wrapTopAndBottom/>
            <wp:docPr id="8" name="图片 8" descr="IMG_256"/>
            <wp:cNvGraphicFramePr/>
            <a:graphic xmlns:a="http://schemas.openxmlformats.org/drawingml/2006/main">
              <a:graphicData uri="http://schemas.openxmlformats.org/drawingml/2006/picture">
                <pic:pic xmlns:pic="http://schemas.openxmlformats.org/drawingml/2006/picture">
                  <pic:nvPicPr>
                    <pic:cNvPr id="8" name="图片 8" descr="IMG_256"/>
                    <pic:cNvPicPr/>
                  </pic:nvPicPr>
                  <pic:blipFill>
                    <a:blip r:embed="rId17"/>
                    <a:stretch>
                      <a:fillRect/>
                    </a:stretch>
                  </pic:blipFill>
                  <pic:spPr>
                    <a:xfrm>
                      <a:off x="0" y="0"/>
                      <a:ext cx="3599815" cy="2520315"/>
                    </a:xfrm>
                    <a:prstGeom prst="rect">
                      <a:avLst/>
                    </a:prstGeom>
                    <a:noFill/>
                    <a:ln w="9525">
                      <a:noFill/>
                    </a:ln>
                  </pic:spPr>
                </pic:pic>
              </a:graphicData>
            </a:graphic>
          </wp:anchor>
        </w:drawing>
      </w:r>
      <w:r>
        <w:rPr>
          <w:rFonts w:hint="eastAsia" w:ascii="Times New Roman" w:hAnsi="Times New Roman" w:cs="Times New Roman"/>
          <w:lang w:eastAsia="zh-CN"/>
        </w:rPr>
        <w:t>图</w:t>
      </w:r>
      <w:r>
        <w:rPr>
          <w:rFonts w:hint="eastAsia" w:ascii="Times New Roman" w:hAnsi="Times New Roman" w:cs="Times New Roman"/>
          <w:lang w:val="en-US" w:eastAsia="zh-CN"/>
        </w:rPr>
        <w:t>8 龙泉山公司投产运营</w:t>
      </w:r>
    </w:p>
    <w:p>
      <w:pPr>
        <w:pStyle w:val="37"/>
        <w:rPr>
          <w:shd w:val="clear" w:color="auto" w:fill="FFFFFF"/>
        </w:rPr>
      </w:pPr>
      <w:r>
        <w:rPr>
          <w:rFonts w:hint="eastAsia"/>
          <w:shd w:val="clear" w:color="auto" w:fill="FFFFFF"/>
        </w:rPr>
        <w:t>在安全、环保方面公司注重投入，已建成投运的生活垃圾焚烧项目各项环保排放指标远低于国家标准</w:t>
      </w:r>
      <w:r>
        <w:rPr>
          <w:shd w:val="clear" w:color="auto" w:fill="FFFFFF"/>
        </w:rPr>
        <w:t>。</w:t>
      </w:r>
      <w:r>
        <w:rPr>
          <w:rFonts w:hint="eastAsia"/>
          <w:shd w:val="clear" w:color="auto" w:fill="FFFFFF"/>
        </w:rPr>
        <w:t>合肥长丰项目各项环境污染物排放指标优于欧盟标准，达到超低洁净排放，实现我们与政府签订特许经营协议的承诺。</w:t>
      </w:r>
    </w:p>
    <w:p>
      <w:pPr>
        <w:pStyle w:val="42"/>
        <w:rPr>
          <w:shd w:val="clear" w:color="auto" w:fill="FFFFFF"/>
        </w:rPr>
      </w:pPr>
      <w:r>
        <w:rPr>
          <w:shd w:val="clear" w:color="auto" w:fill="FFFFFF"/>
        </w:rPr>
        <w:drawing>
          <wp:inline distT="0" distB="0" distL="0" distR="0">
            <wp:extent cx="3599815" cy="2520315"/>
            <wp:effectExtent l="0" t="0" r="635" b="13335"/>
            <wp:docPr id="22" name="图片 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599815" cy="2520315"/>
                    </a:xfrm>
                    <a:prstGeom prst="rect">
                      <a:avLst/>
                    </a:prstGeom>
                    <a:noFill/>
                    <a:ln>
                      <a:noFill/>
                    </a:ln>
                  </pic:spPr>
                </pic:pic>
              </a:graphicData>
            </a:graphic>
          </wp:inline>
        </w:drawing>
      </w:r>
    </w:p>
    <w:p>
      <w:pPr>
        <w:pStyle w:val="38"/>
      </w:pPr>
      <w:r>
        <w:rPr>
          <w:rFonts w:hint="eastAsia"/>
        </w:rPr>
        <w:t>图</w:t>
      </w:r>
      <w:r>
        <w:rPr>
          <w:rFonts w:hint="eastAsia"/>
          <w:lang w:val="en-US" w:eastAsia="zh-CN"/>
        </w:rPr>
        <w:t>9</w:t>
      </w:r>
      <w:r>
        <w:rPr>
          <w:rFonts w:hint="eastAsia"/>
        </w:rPr>
        <w:t xml:space="preserve"> 长丰公司航拍</w:t>
      </w:r>
    </w:p>
    <w:p>
      <w:bookmarkStart w:id="28" w:name="_Toc32933556"/>
    </w:p>
    <w:p>
      <w:pPr>
        <w:sectPr>
          <w:pgSz w:w="11906" w:h="16838"/>
          <w:pgMar w:top="1440" w:right="1797" w:bottom="1440" w:left="1797" w:header="851" w:footer="992" w:gutter="0"/>
          <w:cols w:space="425" w:num="1"/>
          <w:docGrid w:linePitch="312" w:charSpace="0"/>
        </w:sectPr>
      </w:pPr>
    </w:p>
    <w:p>
      <w:pPr>
        <w:pStyle w:val="5"/>
        <w:spacing w:before="240" w:after="240"/>
        <w:rPr>
          <w:szCs w:val="28"/>
        </w:rPr>
      </w:pPr>
      <w:bookmarkStart w:id="29" w:name="_Toc32950334"/>
      <w:bookmarkStart w:id="30" w:name="_Toc33176290"/>
      <w:r>
        <w:rPr>
          <w:rFonts w:hint="eastAsia"/>
          <w:szCs w:val="28"/>
        </w:rPr>
        <w:t>和</w:t>
      </w:r>
      <w:r>
        <w:rPr>
          <w:szCs w:val="28"/>
        </w:rPr>
        <w:t>谐发展</w:t>
      </w:r>
      <w:bookmarkEnd w:id="28"/>
      <w:bookmarkEnd w:id="29"/>
      <w:bookmarkEnd w:id="30"/>
    </w:p>
    <w:p>
      <w:pPr>
        <w:pStyle w:val="37"/>
      </w:pPr>
      <w:r>
        <w:rPr>
          <w:rFonts w:hint="eastAsia"/>
        </w:rPr>
        <w:t>和谐发展是科学发展观要义的体现,也是我司秉承的最重要的发展理念。企业要发展，社会要发展。企业的发展决定着社会的发展，社会的发展又直接影响着企业的发展。只有高度发展、高度文明的社会才能使企业得到最充分最全面的发展，也只有全面发展了的企业才能更好地推动社会的发展。20</w:t>
      </w:r>
      <w:r>
        <w:rPr>
          <w:rFonts w:hint="eastAsia"/>
          <w:lang w:val="en-US" w:eastAsia="zh-CN"/>
        </w:rPr>
        <w:t>21</w:t>
      </w:r>
      <w:r>
        <w:rPr>
          <w:rFonts w:hint="eastAsia"/>
        </w:rPr>
        <w:t>年我司以人为本关注民生，促进社会公平正义，让全体人民共享改革发展成果。</w:t>
      </w:r>
    </w:p>
    <w:p>
      <w:pPr>
        <w:pStyle w:val="6"/>
        <w:spacing w:before="240" w:after="240"/>
        <w:rPr>
          <w:rFonts w:ascii="宋体" w:hAnsi="宋体"/>
        </w:rPr>
      </w:pPr>
      <w:bookmarkStart w:id="31" w:name="_Toc32933557"/>
      <w:bookmarkStart w:id="32" w:name="_Toc32950335"/>
      <w:bookmarkStart w:id="33" w:name="_Toc33176291"/>
      <w:r>
        <w:rPr>
          <w:rFonts w:hint="eastAsia" w:ascii="宋体" w:hAnsi="宋体"/>
        </w:rPr>
        <w:t>积极落实安全规章制度，强化安全防范措施</w:t>
      </w:r>
      <w:bookmarkEnd w:id="31"/>
      <w:bookmarkEnd w:id="32"/>
      <w:bookmarkEnd w:id="33"/>
    </w:p>
    <w:p>
      <w:pPr>
        <w:pStyle w:val="37"/>
      </w:pPr>
      <w:r>
        <w:rPr>
          <w:rFonts w:hint="eastAsia"/>
        </w:rPr>
        <w:t>20</w:t>
      </w:r>
      <w:r>
        <w:rPr>
          <w:rFonts w:hint="eastAsia"/>
          <w:lang w:val="en-US" w:eastAsia="zh-CN"/>
        </w:rPr>
        <w:t>21</w:t>
      </w:r>
      <w:r>
        <w:rPr>
          <w:rFonts w:hint="eastAsia"/>
        </w:rPr>
        <w:t>年环保</w:t>
      </w:r>
      <w:r>
        <w:rPr>
          <w:rFonts w:hint="eastAsia"/>
          <w:lang w:eastAsia="zh-CN"/>
        </w:rPr>
        <w:t>发电</w:t>
      </w:r>
      <w:r>
        <w:rPr>
          <w:rFonts w:hint="eastAsia"/>
        </w:rPr>
        <w:t>公司全面落实“安全生产月”、“电力文化建设年活动”、“反三违” 专项行动，开展“春检”、“秋检”、“大检查大整治专项行动”、“1+6+N”、“防风险保平安迎大庆”消防专项行动等活动，“以查促学、以查促改”。组织观摩学习“颍上料棚火灾”、“临泉厂用电中断”等应急演练，提高事故防范能力。</w:t>
      </w:r>
    </w:p>
    <w:p>
      <w:pPr>
        <w:pStyle w:val="37"/>
        <w:rPr>
          <w:rFonts w:hint="eastAsia" w:ascii="宋体" w:hAnsi="宋体"/>
        </w:rPr>
      </w:pPr>
      <w:r>
        <w:rPr>
          <w:rFonts w:hint="eastAsia" w:ascii="宋体" w:hAnsi="宋体"/>
        </w:rPr>
        <w:t>2021年度</w:t>
      </w:r>
      <w:r>
        <w:rPr>
          <w:rFonts w:hint="eastAsia" w:ascii="宋体" w:hAnsi="宋体"/>
          <w:lang w:eastAsia="zh-CN"/>
        </w:rPr>
        <w:t>安庆</w:t>
      </w:r>
      <w:r>
        <w:rPr>
          <w:rFonts w:hint="eastAsia" w:ascii="宋体" w:hAnsi="宋体"/>
        </w:rPr>
        <w:t>公司连续安全生产2820天，未发生轻伤以上事件，各项安全工作均在可控范围内。</w:t>
      </w:r>
      <w:r>
        <w:rPr>
          <w:rFonts w:hint="eastAsia" w:ascii="宋体" w:hAnsi="宋体"/>
          <w:lang w:eastAsia="zh-CN"/>
        </w:rPr>
        <w:t>安庆</w:t>
      </w:r>
      <w:r>
        <w:rPr>
          <w:rFonts w:hint="eastAsia" w:ascii="宋体" w:hAnsi="宋体"/>
        </w:rPr>
        <w:t>公司制定下发了《2021年安全目标及目标管理措施》，明确了考核目标，细化了考核内容。2021年违章考核83起，共计考核33100元。全年共计开展各类检查27次，检查整改项491项，全部完成整改闭环。</w:t>
      </w:r>
      <w:r>
        <w:rPr>
          <w:rFonts w:hint="eastAsia" w:ascii="宋体" w:hAnsi="宋体"/>
          <w:lang w:eastAsia="zh-CN"/>
        </w:rPr>
        <w:t>同时</w:t>
      </w:r>
      <w:r>
        <w:rPr>
          <w:rFonts w:hint="eastAsia" w:ascii="宋体" w:hAnsi="宋体"/>
        </w:rPr>
        <w:t>结合“春季安全大检查活动”和“安全生产月活动”每月均由公司分管安全生产领导带队，对现场进行安全隐患、消防、文明生产等进行检查，针对检查内容下发至各部门进行整改闭环。积极开展应急演练活动，提高应急处置能力，结合现场实际，组织公司生产部门开展了防汛应急演练、厂用电中断应急演练、有限空间应急演练、消防灭火演练以及消防知识培训等。通过演练，使员工能够有效应对突发性的不安全事件，提高应对不安全事件的应急反应能力和处置水平，确保一旦发生不安全事件，能够有效组织、快速反应，最大限度地减少不安全事件带来的危害。</w:t>
      </w:r>
    </w:p>
    <w:tbl>
      <w:tblPr>
        <w:tblStyle w:val="22"/>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3" w:type="dxa"/>
            <w:shd w:val="clear" w:color="auto" w:fill="auto"/>
          </w:tcPr>
          <w:p>
            <w:pPr>
              <w:rPr>
                <w:rFonts w:ascii="黑体" w:hAnsi="黑体" w:eastAsia="黑体" w:cs="Arial Unicode MS"/>
                <w:b/>
                <w:bCs/>
                <w:kern w:val="0"/>
                <w:sz w:val="18"/>
                <w:szCs w:val="18"/>
              </w:rPr>
            </w:pPr>
            <w:r>
              <w:drawing>
                <wp:inline distT="0" distB="0" distL="0" distR="0">
                  <wp:extent cx="2592070" cy="1800225"/>
                  <wp:effectExtent l="0" t="0" r="17780" b="9525"/>
                  <wp:docPr id="10" name="图片 1" descr="C:\Users\Administrator\Documents\Tencent Files\76319798\Image\C2C\A26E1C017A61046488C06CA5DC2FC66C.jpg"/>
                  <wp:cNvGraphicFramePr/>
                  <a:graphic xmlns:a="http://schemas.openxmlformats.org/drawingml/2006/main">
                    <a:graphicData uri="http://schemas.openxmlformats.org/drawingml/2006/picture">
                      <pic:pic xmlns:pic="http://schemas.openxmlformats.org/drawingml/2006/picture">
                        <pic:nvPicPr>
                          <pic:cNvPr id="10" name="图片 1" descr="C:\Users\Administrator\Documents\Tencent Files\76319798\Image\C2C\A26E1C017A61046488C06CA5DC2FC66C.jpg"/>
                          <pic:cNvPicPr>
                            <a:picLocks noChangeArrowheads="1"/>
                          </pic:cNvPicPr>
                        </pic:nvPicPr>
                        <pic:blipFill>
                          <a:blip r:embed="rId19" cstate="print"/>
                          <a:srcRect/>
                          <a:stretch>
                            <a:fillRect/>
                          </a:stretch>
                        </pic:blipFill>
                        <pic:spPr>
                          <a:xfrm>
                            <a:off x="0" y="0"/>
                            <a:ext cx="2592070" cy="1800225"/>
                          </a:xfrm>
                          <a:prstGeom prst="rect">
                            <a:avLst/>
                          </a:prstGeom>
                          <a:noFill/>
                          <a:ln w="9525">
                            <a:noFill/>
                            <a:miter lim="800000"/>
                            <a:headEnd/>
                            <a:tailEnd/>
                          </a:ln>
                        </pic:spPr>
                      </pic:pic>
                    </a:graphicData>
                  </a:graphic>
                </wp:inline>
              </w:drawing>
            </w:r>
          </w:p>
        </w:tc>
        <w:tc>
          <w:tcPr>
            <w:tcW w:w="4265" w:type="dxa"/>
            <w:shd w:val="clear" w:color="auto" w:fill="auto"/>
          </w:tcPr>
          <w:p>
            <w:pPr>
              <w:rPr>
                <w:rFonts w:ascii="黑体" w:hAnsi="黑体" w:eastAsia="黑体" w:cs="Arial Unicode MS"/>
                <w:b/>
                <w:bCs/>
                <w:kern w:val="0"/>
                <w:sz w:val="18"/>
                <w:szCs w:val="18"/>
              </w:rPr>
            </w:pPr>
            <w:r>
              <w:drawing>
                <wp:inline distT="0" distB="0" distL="0" distR="0">
                  <wp:extent cx="2592070" cy="1800225"/>
                  <wp:effectExtent l="0" t="0" r="17780" b="9525"/>
                  <wp:docPr id="16" name="图片 10" descr="C:\Users\Administrator\Documents\Tencent Files\76319798\Image\C2C\BDB863AE153C4D7C36557FBD8326F033.jpg"/>
                  <wp:cNvGraphicFramePr/>
                  <a:graphic xmlns:a="http://schemas.openxmlformats.org/drawingml/2006/main">
                    <a:graphicData uri="http://schemas.openxmlformats.org/drawingml/2006/picture">
                      <pic:pic xmlns:pic="http://schemas.openxmlformats.org/drawingml/2006/picture">
                        <pic:nvPicPr>
                          <pic:cNvPr id="16" name="图片 10" descr="C:\Users\Administrator\Documents\Tencent Files\76319798\Image\C2C\BDB863AE153C4D7C36557FBD8326F033.jpg"/>
                          <pic:cNvPicPr>
                            <a:picLocks noChangeArrowheads="1"/>
                          </pic:cNvPicPr>
                        </pic:nvPicPr>
                        <pic:blipFill>
                          <a:blip r:embed="rId20" cstate="print"/>
                          <a:srcRect/>
                          <a:stretch>
                            <a:fillRect/>
                          </a:stretch>
                        </pic:blipFill>
                        <pic:spPr>
                          <a:xfrm>
                            <a:off x="0" y="0"/>
                            <a:ext cx="2592070" cy="1800225"/>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c>
          <w:tcPr>
            <w:tcW w:w="4263" w:type="dxa"/>
            <w:shd w:val="clear" w:color="auto" w:fill="auto"/>
          </w:tcPr>
          <w:p>
            <w:pPr>
              <w:pStyle w:val="38"/>
            </w:pPr>
            <w:r>
              <w:rPr>
                <w:rFonts w:hint="eastAsia"/>
              </w:rPr>
              <w:t>图</w:t>
            </w:r>
            <w:r>
              <w:rPr>
                <w:rFonts w:hint="eastAsia"/>
                <w:lang w:val="en-US" w:eastAsia="zh-CN"/>
              </w:rPr>
              <w:t>10</w:t>
            </w:r>
            <w:r>
              <w:t xml:space="preserve"> </w:t>
            </w:r>
            <w:r>
              <w:rPr>
                <w:rFonts w:hint="eastAsia"/>
              </w:rPr>
              <w:t>安庆公司</w:t>
            </w:r>
            <w:r>
              <w:rPr>
                <w:rFonts w:hint="eastAsia"/>
                <w:lang w:eastAsia="zh-CN"/>
              </w:rPr>
              <w:t>领导带队安全</w:t>
            </w:r>
            <w:r>
              <w:rPr>
                <w:rFonts w:hint="eastAsia"/>
              </w:rPr>
              <w:t>检查</w:t>
            </w:r>
          </w:p>
        </w:tc>
        <w:tc>
          <w:tcPr>
            <w:tcW w:w="4265" w:type="dxa"/>
            <w:shd w:val="clear" w:color="auto" w:fill="auto"/>
          </w:tcPr>
          <w:p>
            <w:pPr>
              <w:pStyle w:val="38"/>
              <w:rPr>
                <w:rFonts w:hint="eastAsia" w:eastAsia="仿宋"/>
                <w:lang w:eastAsia="zh-CN"/>
              </w:rPr>
            </w:pPr>
            <w:r>
              <w:rPr>
                <w:rFonts w:hint="eastAsia"/>
              </w:rPr>
              <w:t>图</w:t>
            </w:r>
            <w:r>
              <w:rPr>
                <w:rFonts w:hint="eastAsia"/>
                <w:lang w:val="en-US" w:eastAsia="zh-CN"/>
              </w:rPr>
              <w:t>11</w:t>
            </w:r>
            <w:r>
              <w:t xml:space="preserve"> </w:t>
            </w:r>
            <w:r>
              <w:rPr>
                <w:rFonts w:hint="eastAsia"/>
              </w:rPr>
              <w:t>安庆公司</w:t>
            </w:r>
            <w:r>
              <w:rPr>
                <w:rFonts w:hint="eastAsia"/>
                <w:lang w:eastAsia="zh-CN"/>
              </w:rPr>
              <w:t>安全生产月签字仪式</w:t>
            </w:r>
          </w:p>
        </w:tc>
      </w:tr>
    </w:tbl>
    <w:p>
      <w:pPr>
        <w:pStyle w:val="37"/>
        <w:rPr>
          <w:rFonts w:hint="eastAsia" w:cs="Times New Roman"/>
        </w:rPr>
      </w:pPr>
      <w:r>
        <w:rPr>
          <w:rFonts w:hint="eastAsia"/>
          <w:lang w:val="en-US" w:eastAsia="zh-CN"/>
        </w:rPr>
        <w:t>蚌埠公司不断提高应急处置能力、有效化解风险发生。严格按照应急演练计划要求，常态化开展应急演练工作，并根据公司实际情况，有针对性的进行强化训练。</w:t>
      </w:r>
      <w:r>
        <w:rPr>
          <w:rFonts w:hint="eastAsia" w:cs="Times New Roman"/>
          <w:lang w:val="en-US" w:eastAsia="zh-CN"/>
        </w:rPr>
        <w:t>2021年6月23日</w:t>
      </w:r>
      <w:r>
        <w:rPr>
          <w:rFonts w:hint="eastAsia" w:cs="Times New Roman"/>
        </w:rPr>
        <w:t>，蚌埠公司组织开展了厂用电中断反事故应急演练活动。蚌埠公司制定了详细的演练方案，从人员的组织分工到演练步骤都做了细致的安排，并提前组织全体参演人员对方案进行充分学习。本次演练从实际出发，现场模拟了厂用电中断不同状况下的处理过程及注意事项，增强了大家对事故应急预案的熟悉程度，让参与人员对厂用电中断情况有了直观的认识，应急处理能力得到提升。演习提高了生产运行人员对故障的快速判断处理能力和组织协调能力，促进了各岗位人员团结协作水平的提升，积累了厂用电中断处理经验，为公司安全环保生产筑牢了安全防线。</w:t>
      </w:r>
    </w:p>
    <w:p>
      <w:pPr>
        <w:pStyle w:val="37"/>
        <w:rPr>
          <w:rFonts w:hint="eastAsia" w:cs="Times New Roman"/>
        </w:rPr>
      </w:pPr>
      <w:r>
        <w:rPr>
          <w:rFonts w:hint="eastAsia" w:cs="Times New Roman"/>
          <w:lang w:val="en-US" w:eastAsia="zh-CN"/>
        </w:rPr>
        <w:t>定远公司为进一步强化安全意识，夯实安全基础，开展知识竞赛、安全征文、安全微视频征集、安全标语征集等一系列丰富多彩的活动，既营造了良好的氛围，又筑牢了全员的安全意识防线。2021年度，共计开展节前检查、春检、秋检以及各类专项检查15次，检查发现问题141项，已完成整改127项，整改完成率90%。2021年度，组织开展月度隐患排查11次，共计排查56条，已完成整改52条，整改完成率93%。按照年度应急演练计划，开展柴油泄露应急演练、CEMS系统故障应急演练、有限空间作业人员中毒应急演练等共计15次反事故演习，锤炼生产人员事故情况下的快速反应能力和处理能力。</w:t>
      </w:r>
    </w:p>
    <w:tbl>
      <w:tblPr>
        <w:tblStyle w:val="22"/>
        <w:tblW w:w="0" w:type="auto"/>
        <w:tblInd w:w="0" w:type="dxa"/>
        <w:tblLayout w:type="autofit"/>
        <w:tblCellMar>
          <w:top w:w="0" w:type="dxa"/>
          <w:left w:w="108" w:type="dxa"/>
          <w:bottom w:w="0" w:type="dxa"/>
          <w:right w:w="108" w:type="dxa"/>
        </w:tblCellMar>
      </w:tblPr>
      <w:tblGrid>
        <w:gridCol w:w="4311"/>
        <w:gridCol w:w="4217"/>
      </w:tblGrid>
      <w:tr>
        <w:tblPrEx>
          <w:tblCellMar>
            <w:top w:w="0" w:type="dxa"/>
            <w:left w:w="108" w:type="dxa"/>
            <w:bottom w:w="0" w:type="dxa"/>
            <w:right w:w="108" w:type="dxa"/>
          </w:tblCellMar>
        </w:tblPrEx>
        <w:tc>
          <w:tcPr>
            <w:tcW w:w="4264" w:type="dxa"/>
            <w:shd w:val="clear" w:color="auto" w:fill="auto"/>
          </w:tcPr>
          <w:p>
            <w:pPr>
              <w:pStyle w:val="42"/>
            </w:pPr>
            <w:r>
              <w:drawing>
                <wp:inline distT="0" distB="0" distL="0" distR="0">
                  <wp:extent cx="2632710" cy="1986280"/>
                  <wp:effectExtent l="0" t="0" r="0" b="0"/>
                  <wp:docPr id="2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IMG_2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32710" cy="1986280"/>
                          </a:xfrm>
                          <a:prstGeom prst="rect">
                            <a:avLst/>
                          </a:prstGeom>
                          <a:noFill/>
                          <a:ln>
                            <a:noFill/>
                          </a:ln>
                        </pic:spPr>
                      </pic:pic>
                    </a:graphicData>
                  </a:graphic>
                </wp:inline>
              </w:drawing>
            </w:r>
          </w:p>
        </w:tc>
        <w:tc>
          <w:tcPr>
            <w:tcW w:w="4264" w:type="dxa"/>
            <w:shd w:val="clear" w:color="auto" w:fill="auto"/>
          </w:tcPr>
          <w:p>
            <w:pPr>
              <w:pStyle w:val="42"/>
            </w:pPr>
            <w:r>
              <w:rPr>
                <w:color w:val="auto"/>
              </w:rPr>
              <w:drawing>
                <wp:inline distT="0" distB="0" distL="114300" distR="114300">
                  <wp:extent cx="2560320" cy="1920240"/>
                  <wp:effectExtent l="0" t="0" r="11430" b="3810"/>
                  <wp:docPr id="9" name="图片 9" descr="IMG_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1350"/>
                          <pic:cNvPicPr>
                            <a:picLocks noChangeAspect="1"/>
                          </pic:cNvPicPr>
                        </pic:nvPicPr>
                        <pic:blipFill>
                          <a:blip r:embed="rId22"/>
                          <a:stretch>
                            <a:fillRect/>
                          </a:stretch>
                        </pic:blipFill>
                        <pic:spPr>
                          <a:xfrm>
                            <a:off x="0" y="0"/>
                            <a:ext cx="2560320" cy="1920240"/>
                          </a:xfrm>
                          <a:prstGeom prst="rect">
                            <a:avLst/>
                          </a:prstGeom>
                        </pic:spPr>
                      </pic:pic>
                    </a:graphicData>
                  </a:graphic>
                </wp:inline>
              </w:drawing>
            </w:r>
          </w:p>
        </w:tc>
      </w:tr>
      <w:tr>
        <w:tblPrEx>
          <w:tblCellMar>
            <w:top w:w="0" w:type="dxa"/>
            <w:left w:w="108" w:type="dxa"/>
            <w:bottom w:w="0" w:type="dxa"/>
            <w:right w:w="108" w:type="dxa"/>
          </w:tblCellMar>
        </w:tblPrEx>
        <w:tc>
          <w:tcPr>
            <w:tcW w:w="4264" w:type="dxa"/>
            <w:shd w:val="clear" w:color="auto" w:fill="auto"/>
          </w:tcPr>
          <w:p>
            <w:pPr>
              <w:pStyle w:val="38"/>
            </w:pPr>
            <w:r>
              <w:rPr>
                <w:rFonts w:hint="eastAsia"/>
              </w:rPr>
              <w:t>图</w:t>
            </w:r>
            <w:r>
              <w:rPr>
                <w:rFonts w:hint="eastAsia"/>
                <w:lang w:val="en-US" w:eastAsia="zh-CN"/>
              </w:rPr>
              <w:t>12</w:t>
            </w:r>
            <w:r>
              <w:t xml:space="preserve"> </w:t>
            </w:r>
            <w:r>
              <w:rPr>
                <w:rFonts w:hint="eastAsia"/>
                <w:lang w:val="en-US" w:eastAsia="zh-CN"/>
              </w:rPr>
              <w:t>蚌埠公司厂用电中断演习</w:t>
            </w:r>
            <w:r>
              <w:br w:type="textWrapping"/>
            </w:r>
          </w:p>
        </w:tc>
        <w:tc>
          <w:tcPr>
            <w:tcW w:w="4264" w:type="dxa"/>
            <w:shd w:val="clear" w:color="auto" w:fill="auto"/>
          </w:tcPr>
          <w:p>
            <w:pPr>
              <w:pStyle w:val="38"/>
            </w:pPr>
            <w:r>
              <w:rPr>
                <w:rFonts w:hint="eastAsia"/>
              </w:rPr>
              <w:t>图</w:t>
            </w:r>
            <w:r>
              <w:rPr>
                <w:rFonts w:hint="eastAsia"/>
                <w:lang w:val="en-US" w:eastAsia="zh-CN"/>
              </w:rPr>
              <w:t>13</w:t>
            </w:r>
            <w:r>
              <w:t xml:space="preserve"> </w:t>
            </w:r>
            <w:r>
              <w:rPr>
                <w:rFonts w:hint="eastAsia"/>
                <w:color w:val="auto"/>
                <w:lang w:val="en-US" w:eastAsia="zh-CN"/>
              </w:rPr>
              <w:t>定远公司迎峰度冬活动</w:t>
            </w:r>
          </w:p>
        </w:tc>
      </w:tr>
    </w:tbl>
    <w:p>
      <w:pPr>
        <w:pStyle w:val="37"/>
        <w:rPr>
          <w:rFonts w:hint="eastAsia"/>
        </w:rPr>
      </w:pPr>
      <w:r>
        <w:rPr>
          <w:rFonts w:hint="eastAsia"/>
          <w:lang w:eastAsia="zh-CN"/>
        </w:rPr>
        <w:t>长丰生物质</w:t>
      </w:r>
      <w:r>
        <w:rPr>
          <w:rFonts w:hint="eastAsia"/>
        </w:rPr>
        <w:t>公司切实实行安全责任目标管理，层层分解落实安全生产责任，组织召开了月度安委会会议及月度安全分析会；认真落实应急演练管理，全年开展了有限空间应急演练、触电急救、消防应急演练，提升员工应对突发时间能力；采用定期检查和现场随机抽查的形式，大力加强现场违章考核力度，截至到2021年11月30日，共查处93项安全违章并考核罚款51100元，通过教育和处罚相结合的方式，施工现场安全管理氛围和习惯性违章现象有了显著改善。</w:t>
      </w:r>
    </w:p>
    <w:p>
      <w:pPr>
        <w:pStyle w:val="37"/>
        <w:rPr>
          <w:rFonts w:hint="eastAsia"/>
        </w:rPr>
      </w:pPr>
      <w:r>
        <w:rPr>
          <w:rFonts w:hint="eastAsia"/>
          <w:lang w:val="en-US" w:eastAsia="zh-CN"/>
        </w:rPr>
        <w:t>为确保安全教育培训质量，履行生产经营单位安全生产主体责任，利辛公司对上级下发文件及时进行宣贯学习，全年传达学习文件129篇次，安全教育培训265人次，根据年度培训计划正常开展相关安全环保培训，开展有限空间安全管理培训、心肺复苏术培训、职业健康知识培训、消防知识培训等。全年组织各类教育培训14次，参培人员563人次。</w:t>
      </w:r>
    </w:p>
    <w:p>
      <w:pPr>
        <w:pStyle w:val="37"/>
        <w:rPr>
          <w:rFonts w:hint="eastAsia"/>
        </w:rPr>
      </w:pPr>
    </w:p>
    <w:p>
      <w:pPr>
        <w:pStyle w:val="37"/>
        <w:rPr>
          <w:rFonts w:hint="eastAsia"/>
        </w:rPr>
      </w:pPr>
    </w:p>
    <w:tbl>
      <w:tblPr>
        <w:tblStyle w:val="22"/>
        <w:tblW w:w="0" w:type="auto"/>
        <w:tblInd w:w="0" w:type="dxa"/>
        <w:tblLayout w:type="autofit"/>
        <w:tblCellMar>
          <w:top w:w="0" w:type="dxa"/>
          <w:left w:w="108" w:type="dxa"/>
          <w:bottom w:w="0" w:type="dxa"/>
          <w:right w:w="108" w:type="dxa"/>
        </w:tblCellMar>
      </w:tblPr>
      <w:tblGrid>
        <w:gridCol w:w="4264"/>
        <w:gridCol w:w="4264"/>
      </w:tblGrid>
      <w:tr>
        <w:tc>
          <w:tcPr>
            <w:tcW w:w="4264" w:type="dxa"/>
            <w:shd w:val="clear" w:color="auto" w:fill="auto"/>
          </w:tcPr>
          <w:p>
            <w:pPr>
              <w:jc w:val="center"/>
              <w:rPr>
                <w:rFonts w:ascii="黑体" w:hAnsi="黑体" w:eastAsia="黑体" w:cs="Arial Unicode MS"/>
                <w:b/>
                <w:bCs/>
                <w:kern w:val="0"/>
                <w:sz w:val="18"/>
                <w:szCs w:val="18"/>
              </w:rPr>
            </w:pPr>
            <w:r>
              <w:drawing>
                <wp:inline distT="0" distB="0" distL="114300" distR="114300">
                  <wp:extent cx="2592070" cy="1979930"/>
                  <wp:effectExtent l="0" t="0" r="17780" b="1270"/>
                  <wp:docPr id="13" name="图片 1"/>
                  <wp:cNvGraphicFramePr/>
                  <a:graphic xmlns:a="http://schemas.openxmlformats.org/drawingml/2006/main">
                    <a:graphicData uri="http://schemas.openxmlformats.org/drawingml/2006/picture">
                      <pic:pic xmlns:pic="http://schemas.openxmlformats.org/drawingml/2006/picture">
                        <pic:nvPicPr>
                          <pic:cNvPr id="13" name="图片 1"/>
                          <pic:cNvPicPr/>
                        </pic:nvPicPr>
                        <pic:blipFill>
                          <a:blip r:embed="rId23"/>
                          <a:stretch>
                            <a:fillRect/>
                          </a:stretch>
                        </pic:blipFill>
                        <pic:spPr>
                          <a:xfrm>
                            <a:off x="0" y="0"/>
                            <a:ext cx="2592070" cy="1979930"/>
                          </a:xfrm>
                          <a:prstGeom prst="rect">
                            <a:avLst/>
                          </a:prstGeom>
                          <a:noFill/>
                          <a:ln>
                            <a:noFill/>
                          </a:ln>
                        </pic:spPr>
                      </pic:pic>
                    </a:graphicData>
                  </a:graphic>
                </wp:inline>
              </w:drawing>
            </w:r>
          </w:p>
        </w:tc>
        <w:tc>
          <w:tcPr>
            <w:tcW w:w="4264" w:type="dxa"/>
            <w:shd w:val="clear" w:color="auto" w:fill="auto"/>
          </w:tcPr>
          <w:p>
            <w:pPr>
              <w:jc w:val="center"/>
              <w:rPr>
                <w:rFonts w:ascii="黑体" w:hAnsi="黑体" w:eastAsia="黑体" w:cs="Arial Unicode MS"/>
                <w:b/>
                <w:bCs/>
                <w:kern w:val="0"/>
                <w:sz w:val="18"/>
                <w:szCs w:val="18"/>
              </w:rPr>
            </w:pPr>
            <w:r>
              <w:rPr>
                <w:rFonts w:ascii="宋体" w:hAnsi="宋体" w:eastAsia="宋体" w:cs="宋体"/>
                <w:sz w:val="24"/>
                <w:szCs w:val="24"/>
              </w:rPr>
              <w:drawing>
                <wp:inline distT="0" distB="0" distL="114300" distR="114300">
                  <wp:extent cx="2592070" cy="1979930"/>
                  <wp:effectExtent l="0" t="0" r="17780" b="1270"/>
                  <wp:docPr id="14" name="图片 2" descr="IMG_256"/>
                  <wp:cNvGraphicFramePr/>
                  <a:graphic xmlns:a="http://schemas.openxmlformats.org/drawingml/2006/main">
                    <a:graphicData uri="http://schemas.openxmlformats.org/drawingml/2006/picture">
                      <pic:pic xmlns:pic="http://schemas.openxmlformats.org/drawingml/2006/picture">
                        <pic:nvPicPr>
                          <pic:cNvPr id="14" name="图片 2" descr="IMG_256"/>
                          <pic:cNvPicPr/>
                        </pic:nvPicPr>
                        <pic:blipFill>
                          <a:blip r:embed="rId24"/>
                          <a:stretch>
                            <a:fillRect/>
                          </a:stretch>
                        </pic:blipFill>
                        <pic:spPr>
                          <a:xfrm>
                            <a:off x="0" y="0"/>
                            <a:ext cx="2592070" cy="1979930"/>
                          </a:xfrm>
                          <a:prstGeom prst="rect">
                            <a:avLst/>
                          </a:prstGeom>
                          <a:noFill/>
                          <a:ln>
                            <a:noFill/>
                          </a:ln>
                        </pic:spPr>
                      </pic:pic>
                    </a:graphicData>
                  </a:graphic>
                </wp:inline>
              </w:drawing>
            </w:r>
          </w:p>
        </w:tc>
      </w:tr>
      <w:tr>
        <w:tc>
          <w:tcPr>
            <w:tcW w:w="4264" w:type="dxa"/>
            <w:shd w:val="clear" w:color="auto" w:fill="auto"/>
          </w:tcPr>
          <w:p>
            <w:pPr>
              <w:pStyle w:val="38"/>
              <w:rPr>
                <w:rFonts w:hint="eastAsia" w:eastAsia="仿宋"/>
                <w:lang w:eastAsia="zh-CN"/>
              </w:rPr>
            </w:pPr>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lang w:val="en-US" w:eastAsia="zh-CN"/>
              </w:rPr>
              <w:t>1</w:t>
            </w:r>
            <w:r>
              <w:fldChar w:fldCharType="end"/>
            </w:r>
            <w:r>
              <w:rPr>
                <w:rFonts w:hint="eastAsia"/>
                <w:lang w:val="en-US" w:eastAsia="zh-CN"/>
              </w:rPr>
              <w:t>4</w:t>
            </w:r>
            <w:r>
              <w:t xml:space="preserve"> </w:t>
            </w:r>
            <w:r>
              <w:rPr>
                <w:rFonts w:hint="eastAsia"/>
                <w:lang w:eastAsia="zh-CN"/>
              </w:rPr>
              <w:t>长丰生物质</w:t>
            </w:r>
            <w:r>
              <w:rPr>
                <w:rFonts w:hint="eastAsia"/>
              </w:rPr>
              <w:t>公司</w:t>
            </w:r>
            <w:r>
              <w:rPr>
                <w:rFonts w:hint="eastAsia"/>
                <w:lang w:eastAsia="zh-CN"/>
              </w:rPr>
              <w:t>消防应急演练</w:t>
            </w:r>
          </w:p>
        </w:tc>
        <w:tc>
          <w:tcPr>
            <w:tcW w:w="4264" w:type="dxa"/>
            <w:shd w:val="clear" w:color="auto" w:fill="auto"/>
          </w:tcPr>
          <w:p>
            <w:pPr>
              <w:pStyle w:val="38"/>
            </w:pPr>
            <w:r>
              <w:rPr>
                <w:rFonts w:hint="eastAsia"/>
              </w:rPr>
              <w:t>图</w:t>
            </w:r>
            <w:r>
              <w:rPr>
                <w:rFonts w:hint="eastAsia"/>
                <w:lang w:val="en-US" w:eastAsia="zh-CN"/>
              </w:rPr>
              <w:t>15</w:t>
            </w:r>
            <w:r>
              <w:t xml:space="preserve"> </w:t>
            </w:r>
            <w:r>
              <w:rPr>
                <w:rFonts w:hint="eastAsia"/>
              </w:rPr>
              <w:t>利辛公司开展有限空间安全培训及应急处置方案演</w:t>
            </w:r>
          </w:p>
        </w:tc>
      </w:tr>
    </w:tbl>
    <w:p>
      <w:pPr>
        <w:pStyle w:val="6"/>
        <w:spacing w:before="240" w:after="240"/>
        <w:rPr>
          <w:rFonts w:ascii="宋体" w:hAnsi="宋体"/>
        </w:rPr>
      </w:pPr>
      <w:bookmarkStart w:id="34" w:name="_Toc33176292"/>
      <w:bookmarkStart w:id="35" w:name="_Toc32933558"/>
      <w:bookmarkStart w:id="36" w:name="_Toc32950336"/>
      <w:r>
        <w:rPr>
          <w:rFonts w:hint="eastAsia" w:ascii="宋体" w:hAnsi="宋体"/>
        </w:rPr>
        <w:t>积极落实企业主体责任，切实保障员工身体健康</w:t>
      </w:r>
      <w:bookmarkEnd w:id="34"/>
      <w:bookmarkEnd w:id="35"/>
      <w:bookmarkEnd w:id="36"/>
    </w:p>
    <w:p>
      <w:pPr>
        <w:pStyle w:val="37"/>
        <w:rPr>
          <w:rFonts w:cs="仿宋_GB2312"/>
        </w:rPr>
      </w:pPr>
      <w:r>
        <w:rPr>
          <w:rFonts w:hint="eastAsia" w:cs="仿宋_GB2312"/>
        </w:rPr>
        <w:t>为保障员工身体健康，加强职业健康监护，切实维护员工健康权益。环保发电公司要求各子公司</w:t>
      </w:r>
      <w:r>
        <w:rPr>
          <w:rFonts w:hint="eastAsia"/>
        </w:rPr>
        <w:t>都高度重视职工的身体健康，尤其是职业病防治工作。每年定期开展职业病防治专题讲座和培训，按照有关规定和要求发放劳动保护用品，并组织职工开展职业病防治专项检查，做到“早预防、早检查、早处理”，杜绝或减小职业病对职工的危害。</w:t>
      </w:r>
      <w:r>
        <w:rPr>
          <w:rFonts w:hint="eastAsia" w:cs="仿宋_GB2312"/>
        </w:rPr>
        <w:t>公司坚持以人为本的经营理念，高度重视员工健康，始终把员工的健康放在第一位。</w:t>
      </w:r>
    </w:p>
    <w:p>
      <w:pPr>
        <w:pStyle w:val="37"/>
        <w:rPr>
          <w:rFonts w:hint="eastAsia"/>
          <w:bCs/>
          <w:lang w:val="en-US" w:eastAsia="zh-CN"/>
        </w:rPr>
      </w:pPr>
      <w:r>
        <w:rPr>
          <w:rFonts w:hint="eastAsia"/>
          <w:bCs/>
          <w:lang w:val="en-US" w:eastAsia="zh-CN"/>
        </w:rPr>
        <w:t>临泉公司一贯奉行“以人为本”的管理理念，使员工的个人价值观和企业的价值观得到统一。公司与职工的劳动合同签订率达到100%，为职工全部办理“五险二金”。为“关爱员工，以人为本”不仅仅是一句话，更要落实到行动中，临泉公司始终把员工身心健康作为企业健康可持续发展的重点工作来做。提倡员工在工作之余，加强身体锻炼，增强体质，以健康的身体饱满的热情投入工作之中， 增强企业凝聚力，构建和谐的工作环境。每年定期开展职业病防治专题讲座和培训，按照有关规定和要求发放劳动保护用品，并组织职工开展职业病防治专项检查，做到“早预防、早检查、早处理”，杜绝或减小职业病对职工的危害。公司坚持以人为本的经营理念，高度重视员工健康，始终把员工的健康放在第一位。</w:t>
      </w:r>
    </w:p>
    <w:p>
      <w:pPr>
        <w:pStyle w:val="37"/>
        <w:ind w:left="0" w:leftChars="0" w:firstLine="560" w:firstLineChars="200"/>
        <w:rPr>
          <w:rFonts w:hint="eastAsia"/>
          <w:bCs/>
        </w:rPr>
      </w:pPr>
      <w:r>
        <w:rPr>
          <w:rFonts w:hint="eastAsia"/>
          <w:bCs/>
          <w:lang w:val="en-US" w:eastAsia="zh-CN"/>
        </w:rPr>
        <w:t>阜阳公司为保证公司员工职业健康安全，</w:t>
      </w:r>
      <w:r>
        <w:rPr>
          <w:rFonts w:hint="eastAsia"/>
          <w:bCs/>
        </w:rPr>
        <w:t>2021年4月27日</w:t>
      </w:r>
      <w:r>
        <w:rPr>
          <w:rFonts w:hint="eastAsia"/>
          <w:bCs/>
          <w:lang w:eastAsia="zh-CN"/>
        </w:rPr>
        <w:t>，</w:t>
      </w:r>
      <w:r>
        <w:rPr>
          <w:rFonts w:hint="eastAsia"/>
          <w:bCs/>
        </w:rPr>
        <w:t>阜阳皖能环保电力有限公司</w:t>
      </w:r>
      <w:r>
        <w:rPr>
          <w:rFonts w:hint="eastAsia"/>
          <w:bCs/>
          <w:lang w:val="en-US" w:eastAsia="zh-CN"/>
        </w:rPr>
        <w:t>联合阜阳市颍东区</w:t>
      </w:r>
      <w:r>
        <w:rPr>
          <w:rFonts w:hint="eastAsia"/>
          <w:bCs/>
        </w:rPr>
        <w:t>卫健委、阜阳市第四人民医院在</w:t>
      </w:r>
      <w:r>
        <w:rPr>
          <w:rFonts w:hint="eastAsia"/>
          <w:bCs/>
          <w:lang w:val="en-US" w:eastAsia="zh-CN"/>
        </w:rPr>
        <w:t>公司</w:t>
      </w:r>
      <w:r>
        <w:rPr>
          <w:rFonts w:hint="eastAsia"/>
          <w:bCs/>
        </w:rPr>
        <w:t>开展职业病健康义诊</w:t>
      </w:r>
      <w:r>
        <w:rPr>
          <w:rFonts w:hint="eastAsia"/>
          <w:bCs/>
          <w:lang w:val="en-US" w:eastAsia="zh-CN"/>
        </w:rPr>
        <w:t>活动</w:t>
      </w:r>
      <w:r>
        <w:rPr>
          <w:rFonts w:hint="eastAsia"/>
          <w:bCs/>
        </w:rPr>
        <w:t>，活动以“共建健康企业，共享职业健康”为主题，展台前人头攒动、秩序井然，专家医生</w:t>
      </w:r>
      <w:r>
        <w:rPr>
          <w:rFonts w:hint="eastAsia"/>
          <w:bCs/>
          <w:lang w:val="en-US" w:eastAsia="zh-CN"/>
        </w:rPr>
        <w:t>现场为公司员工</w:t>
      </w:r>
      <w:r>
        <w:rPr>
          <w:rFonts w:hint="eastAsia"/>
          <w:bCs/>
        </w:rPr>
        <w:t>开展</w:t>
      </w:r>
      <w:r>
        <w:rPr>
          <w:rFonts w:hint="eastAsia"/>
          <w:bCs/>
          <w:lang w:val="en-US" w:eastAsia="zh-CN"/>
        </w:rPr>
        <w:t>身体检查</w:t>
      </w:r>
      <w:r>
        <w:rPr>
          <w:rFonts w:hint="eastAsia"/>
          <w:bCs/>
        </w:rPr>
        <w:t>，并为每个人的健康问题提出了应对小贴士。期间共计发放各类职业病防治宣传资料200余份，使用一次性血糖采血器80余支，义诊150余人，获得了公司广大职工的一致好评。</w:t>
      </w:r>
    </w:p>
    <w:tbl>
      <w:tblPr>
        <w:tblStyle w:val="22"/>
        <w:tblW w:w="0" w:type="auto"/>
        <w:tblInd w:w="0" w:type="dxa"/>
        <w:tblLayout w:type="autofit"/>
        <w:tblCellMar>
          <w:top w:w="0" w:type="dxa"/>
          <w:left w:w="108" w:type="dxa"/>
          <w:bottom w:w="0" w:type="dxa"/>
          <w:right w:w="108" w:type="dxa"/>
        </w:tblCellMar>
      </w:tblPr>
      <w:tblGrid>
        <w:gridCol w:w="4172"/>
        <w:gridCol w:w="4356"/>
      </w:tblGrid>
      <w:tr>
        <w:tblPrEx>
          <w:tblCellMar>
            <w:top w:w="0" w:type="dxa"/>
            <w:left w:w="108" w:type="dxa"/>
            <w:bottom w:w="0" w:type="dxa"/>
            <w:right w:w="108" w:type="dxa"/>
          </w:tblCellMar>
        </w:tblPrEx>
        <w:tc>
          <w:tcPr>
            <w:tcW w:w="4264" w:type="dxa"/>
            <w:shd w:val="clear" w:color="auto" w:fill="auto"/>
          </w:tcPr>
          <w:p>
            <w:pPr>
              <w:pStyle w:val="42"/>
            </w:pPr>
            <w:r>
              <w:rPr>
                <w:rFonts w:hint="eastAsia" w:ascii="仿宋_GB2312" w:eastAsia="仿宋_GB2312"/>
                <w:sz w:val="32"/>
                <w:szCs w:val="32"/>
                <w:lang w:eastAsia="zh-CN"/>
              </w:rPr>
              <w:drawing>
                <wp:anchor distT="0" distB="0" distL="114300" distR="114300" simplePos="0" relativeHeight="251669504" behindDoc="0" locked="0" layoutInCell="1" allowOverlap="1">
                  <wp:simplePos x="0" y="0"/>
                  <wp:positionH relativeFrom="column">
                    <wp:posOffset>-19685</wp:posOffset>
                  </wp:positionH>
                  <wp:positionV relativeFrom="paragraph">
                    <wp:posOffset>8890</wp:posOffset>
                  </wp:positionV>
                  <wp:extent cx="2592070" cy="1979930"/>
                  <wp:effectExtent l="0" t="0" r="17780" b="1270"/>
                  <wp:wrapSquare wrapText="bothSides"/>
                  <wp:docPr id="15" name="图片 15" descr="IMG_3309"/>
                  <wp:cNvGraphicFramePr/>
                  <a:graphic xmlns:a="http://schemas.openxmlformats.org/drawingml/2006/main">
                    <a:graphicData uri="http://schemas.openxmlformats.org/drawingml/2006/picture">
                      <pic:pic xmlns:pic="http://schemas.openxmlformats.org/drawingml/2006/picture">
                        <pic:nvPicPr>
                          <pic:cNvPr id="15" name="图片 15" descr="IMG_3309"/>
                          <pic:cNvPicPr/>
                        </pic:nvPicPr>
                        <pic:blipFill>
                          <a:blip r:embed="rId25"/>
                          <a:stretch>
                            <a:fillRect/>
                          </a:stretch>
                        </pic:blipFill>
                        <pic:spPr>
                          <a:xfrm>
                            <a:off x="0" y="0"/>
                            <a:ext cx="2592070" cy="1979930"/>
                          </a:xfrm>
                          <a:prstGeom prst="rect">
                            <a:avLst/>
                          </a:prstGeom>
                        </pic:spPr>
                      </pic:pic>
                    </a:graphicData>
                  </a:graphic>
                </wp:anchor>
              </w:drawing>
            </w:r>
          </w:p>
        </w:tc>
        <w:tc>
          <w:tcPr>
            <w:tcW w:w="4264" w:type="dxa"/>
            <w:shd w:val="clear" w:color="auto" w:fill="auto"/>
          </w:tcPr>
          <w:p>
            <w:pPr>
              <w:pStyle w:val="42"/>
            </w:pPr>
            <w:r>
              <w:rPr>
                <w:rFonts w:hint="eastAsia" w:ascii="宋体" w:hAnsi="宋体" w:eastAsia="宋体" w:cs="宋体"/>
                <w:sz w:val="28"/>
                <w:szCs w:val="28"/>
                <w:lang w:val="en-US" w:eastAsia="zh-CN"/>
              </w:rPr>
              <w:drawing>
                <wp:inline distT="0" distB="0" distL="114300" distR="114300">
                  <wp:extent cx="2628265" cy="1979930"/>
                  <wp:effectExtent l="0" t="0" r="635" b="1270"/>
                  <wp:docPr id="17" name="图片 4" descr="C:\Users\Administrator\Desktop\QNE{MI0IE1P@XR0I1V0D0GC.JPGQNE{MI0IE1P@XR0I1V0D0GC"/>
                  <wp:cNvGraphicFramePr/>
                  <a:graphic xmlns:a="http://schemas.openxmlformats.org/drawingml/2006/main">
                    <a:graphicData uri="http://schemas.openxmlformats.org/drawingml/2006/picture">
                      <pic:pic xmlns:pic="http://schemas.openxmlformats.org/drawingml/2006/picture">
                        <pic:nvPicPr>
                          <pic:cNvPr id="17" name="图片 4" descr="C:\Users\Administrator\Desktop\QNE{MI0IE1P@XR0I1V0D0GC.JPGQNE{MI0IE1P@XR0I1V0D0GC"/>
                          <pic:cNvPicPr/>
                        </pic:nvPicPr>
                        <pic:blipFill>
                          <a:blip r:embed="rId26"/>
                          <a:stretch>
                            <a:fillRect/>
                          </a:stretch>
                        </pic:blipFill>
                        <pic:spPr>
                          <a:xfrm>
                            <a:off x="0" y="0"/>
                            <a:ext cx="2628265" cy="197993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4" w:type="dxa"/>
            <w:shd w:val="clear" w:color="auto" w:fill="auto"/>
          </w:tcPr>
          <w:p>
            <w:pPr>
              <w:pStyle w:val="38"/>
              <w:rPr>
                <w:rFonts w:hint="eastAsia" w:eastAsia="仿宋"/>
                <w:lang w:eastAsia="zh-CN"/>
              </w:rPr>
            </w:pPr>
            <w:r>
              <w:rPr>
                <w:rFonts w:hint="eastAsia"/>
              </w:rPr>
              <w:t>图</w:t>
            </w:r>
            <w:r>
              <w:rPr>
                <w:rFonts w:hint="eastAsia"/>
                <w:lang w:val="en-US" w:eastAsia="zh-CN"/>
              </w:rPr>
              <w:t>16</w:t>
            </w:r>
            <w:r>
              <w:t xml:space="preserve"> </w:t>
            </w:r>
            <w:r>
              <w:rPr>
                <w:rFonts w:hint="eastAsia"/>
                <w:lang w:eastAsia="zh-CN"/>
              </w:rPr>
              <w:t>临泉公司职业健康体检</w:t>
            </w:r>
          </w:p>
        </w:tc>
        <w:tc>
          <w:tcPr>
            <w:tcW w:w="4264" w:type="dxa"/>
            <w:shd w:val="clear" w:color="auto" w:fill="auto"/>
          </w:tcPr>
          <w:p>
            <w:pPr>
              <w:pStyle w:val="38"/>
            </w:pPr>
            <w:r>
              <w:rPr>
                <w:rFonts w:hint="eastAsia"/>
              </w:rPr>
              <w:t>图</w:t>
            </w:r>
            <w:r>
              <w:rPr>
                <w:rFonts w:hint="eastAsia"/>
                <w:lang w:val="en-US" w:eastAsia="zh-CN"/>
              </w:rPr>
              <w:t>17</w:t>
            </w:r>
            <w:r>
              <w:t xml:space="preserve"> </w:t>
            </w:r>
            <w:r>
              <w:rPr>
                <w:rFonts w:hint="eastAsia"/>
                <w:lang w:eastAsia="zh-CN"/>
              </w:rPr>
              <w:t>阜阳</w:t>
            </w:r>
            <w:r>
              <w:rPr>
                <w:rFonts w:hint="eastAsia"/>
              </w:rPr>
              <w:t>公司职业健康体检</w:t>
            </w:r>
          </w:p>
        </w:tc>
      </w:tr>
    </w:tbl>
    <w:p>
      <w:pPr>
        <w:pStyle w:val="6"/>
        <w:spacing w:before="240" w:after="240"/>
        <w:rPr>
          <w:rFonts w:ascii="宋体" w:hAnsi="宋体"/>
        </w:rPr>
      </w:pPr>
      <w:bookmarkStart w:id="37" w:name="_Toc32933559"/>
      <w:bookmarkStart w:id="38" w:name="_Toc32950337"/>
      <w:bookmarkStart w:id="39" w:name="_Toc33176293"/>
      <w:r>
        <w:rPr>
          <w:rFonts w:hint="eastAsia" w:ascii="宋体" w:hAnsi="宋体"/>
        </w:rPr>
        <w:t>积极助力员工成长，稳步成就企业未来</w:t>
      </w:r>
      <w:bookmarkEnd w:id="37"/>
      <w:bookmarkEnd w:id="38"/>
      <w:bookmarkEnd w:id="39"/>
    </w:p>
    <w:p>
      <w:pPr>
        <w:pStyle w:val="37"/>
        <w:rPr>
          <w:rFonts w:hint="eastAsia"/>
        </w:rPr>
      </w:pPr>
      <w:r>
        <w:rPr>
          <w:rFonts w:hint="eastAsia"/>
        </w:rPr>
        <w:t>环保发电公司秉承以人为本的理念，重视员工职业发展，积极探索在保持稳定的基础上继续追求创新与发展，公司始终把培养、爱护人才作为企业兴盛的头等大事。</w:t>
      </w:r>
    </w:p>
    <w:p>
      <w:pPr>
        <w:pStyle w:val="37"/>
        <w:rPr>
          <w:rFonts w:hint="eastAsia"/>
        </w:rPr>
      </w:pPr>
      <w:r>
        <w:rPr>
          <w:rFonts w:hint="eastAsia"/>
          <w:lang w:val="en-US" w:eastAsia="zh-CN"/>
        </w:rPr>
        <w:t>宿州公司为提高公司管理成的管理水平，满足公司发展需要，6月宿州皖能环保公司在办公楼二楼大会议室开展了管理培训会。此次培训会由公司副总经理组织授课，各部门负责人、专工、值长共计22人参加。</w:t>
      </w:r>
      <w:r>
        <w:rPr>
          <w:rFonts w:hint="eastAsia"/>
        </w:rPr>
        <w:t>培训会为人才概述、选人篇、用人篇、育人篇、留人篇五个部分。重点对选人、用人、育人部分进行详细讲解。授课过程中，大家专心听讲、认真做笔记。通过培训进一步加强各级人员对公司管理的系统认识，提高管理效率、强化了团队建设，为公司的长期稳定发展奠定了坚实的基础。</w:t>
      </w:r>
    </w:p>
    <w:p>
      <w:pPr>
        <w:pStyle w:val="37"/>
        <w:rPr>
          <w:rFonts w:hint="eastAsia"/>
          <w:lang w:val="en-US" w:eastAsia="zh-CN"/>
        </w:rPr>
      </w:pPr>
      <w:r>
        <w:rPr>
          <w:rFonts w:hint="eastAsia"/>
          <w:shd w:val="clear" w:color="auto" w:fill="FFFFFF"/>
        </w:rPr>
        <w:t>为庆祝中国共产党成立100周年，</w:t>
      </w:r>
      <w:r>
        <w:rPr>
          <w:rFonts w:hint="eastAsia"/>
          <w:shd w:val="clear" w:color="auto" w:fill="FFFFFF"/>
          <w:lang w:val="en-US" w:eastAsia="zh-CN"/>
        </w:rPr>
        <w:t>2021年</w:t>
      </w:r>
      <w:r>
        <w:rPr>
          <w:rFonts w:hint="eastAsia"/>
          <w:shd w:val="clear" w:color="auto" w:fill="FFFFFF"/>
        </w:rPr>
        <w:t>6月16日，蚌埠公司党支部率团支部举办了“迎七一趣味运动会”活动，公司各部门和外委单位组队参加。本次活动为集体项目，在“五人六脚”项目中，只听哨声一响，队员们迈动绑在一起的双腿前进，既要保证速度还要与同伴保持动作一致，心急的队伍不时有跌倒的情况发生，而有的队伍在队长的口号下“一、二、一、二”有节奏地稳步前行，现场气氛热烈。后续进行了排球传递、方程式赛跑、跳大绳、摸石过河、筷子夹球等活动项目，活动在一片热闹的欢呼声中圆满结束。此次活动是蚌埠公司为庆祝中国共产党成立100周年而举办的系列活动之一，通过本次活动，加强了员工之间的交流与合作，丰富了员工的业余文化生活，营造了庆祝建党100周年喜庆和谐的氛围。</w:t>
      </w:r>
    </w:p>
    <w:tbl>
      <w:tblPr>
        <w:tblStyle w:val="22"/>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shd w:val="clear" w:color="auto" w:fill="auto"/>
          </w:tcPr>
          <w:p>
            <w:pPr>
              <w:pStyle w:val="42"/>
            </w:pPr>
            <w:r>
              <w:drawing>
                <wp:inline distT="0" distB="0" distL="114300" distR="114300">
                  <wp:extent cx="2628265" cy="1979930"/>
                  <wp:effectExtent l="0" t="0" r="635" b="1270"/>
                  <wp:docPr id="20" name="图片 14"/>
                  <wp:cNvGraphicFramePr/>
                  <a:graphic xmlns:a="http://schemas.openxmlformats.org/drawingml/2006/main">
                    <a:graphicData uri="http://schemas.openxmlformats.org/drawingml/2006/picture">
                      <pic:pic xmlns:pic="http://schemas.openxmlformats.org/drawingml/2006/picture">
                        <pic:nvPicPr>
                          <pic:cNvPr id="20" name="图片 14"/>
                          <pic:cNvPicPr/>
                        </pic:nvPicPr>
                        <pic:blipFill>
                          <a:blip r:embed="rId27"/>
                          <a:stretch>
                            <a:fillRect/>
                          </a:stretch>
                        </pic:blipFill>
                        <pic:spPr>
                          <a:xfrm>
                            <a:off x="0" y="0"/>
                            <a:ext cx="2628265" cy="1979930"/>
                          </a:xfrm>
                          <a:prstGeom prst="rect">
                            <a:avLst/>
                          </a:prstGeom>
                          <a:noFill/>
                          <a:ln>
                            <a:noFill/>
                          </a:ln>
                        </pic:spPr>
                      </pic:pic>
                    </a:graphicData>
                  </a:graphic>
                </wp:inline>
              </w:drawing>
            </w:r>
          </w:p>
        </w:tc>
        <w:tc>
          <w:tcPr>
            <w:tcW w:w="4264" w:type="dxa"/>
            <w:shd w:val="clear" w:color="auto" w:fill="auto"/>
          </w:tcPr>
          <w:p>
            <w:pPr>
              <w:pStyle w:val="42"/>
            </w:pPr>
            <w:r>
              <w:drawing>
                <wp:inline distT="0" distB="0" distL="0" distR="0">
                  <wp:extent cx="2628265" cy="1979930"/>
                  <wp:effectExtent l="0" t="0" r="635" b="1270"/>
                  <wp:docPr id="21" name="图片 12" descr="C:\Users\AUS U\Desktop\新建文件夹\趣味运动会.jpg趣味运动会"/>
                  <wp:cNvGraphicFramePr/>
                  <a:graphic xmlns:a="http://schemas.openxmlformats.org/drawingml/2006/main">
                    <a:graphicData uri="http://schemas.openxmlformats.org/drawingml/2006/picture">
                      <pic:pic xmlns:pic="http://schemas.openxmlformats.org/drawingml/2006/picture">
                        <pic:nvPicPr>
                          <pic:cNvPr id="21" name="图片 12" descr="C:\Users\AUS U\Desktop\新建文件夹\趣味运动会.jpg趣味运动会"/>
                          <pic:cNvPicPr>
                            <a:picLocks noChangeArrowheads="1"/>
                          </pic:cNvPicPr>
                        </pic:nvPicPr>
                        <pic:blipFill>
                          <a:blip r:embed="rId28"/>
                          <a:srcRect/>
                          <a:stretch>
                            <a:fillRect/>
                          </a:stretch>
                        </pic:blipFill>
                        <pic:spPr>
                          <a:xfrm>
                            <a:off x="0" y="0"/>
                            <a:ext cx="2628265" cy="197993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4" w:type="dxa"/>
            <w:shd w:val="clear" w:color="auto" w:fill="auto"/>
          </w:tcPr>
          <w:p>
            <w:pPr>
              <w:pStyle w:val="38"/>
              <w:rPr>
                <w:rFonts w:hint="eastAsia" w:eastAsia="仿宋"/>
                <w:lang w:eastAsia="zh-CN"/>
              </w:rPr>
            </w:pPr>
            <w:r>
              <w:rPr>
                <w:rFonts w:hint="eastAsia"/>
              </w:rPr>
              <w:t>图</w:t>
            </w:r>
            <w:r>
              <w:rPr>
                <w:rFonts w:hint="eastAsia"/>
                <w:lang w:val="en-US" w:eastAsia="zh-CN"/>
              </w:rPr>
              <w:t>18</w:t>
            </w:r>
            <w:r>
              <w:t xml:space="preserve"> </w:t>
            </w:r>
            <w:r>
              <w:rPr>
                <w:rFonts w:hint="eastAsia"/>
                <w:lang w:eastAsia="zh-CN"/>
              </w:rPr>
              <w:t>宿州公司开展人才培训工作</w:t>
            </w:r>
          </w:p>
        </w:tc>
        <w:tc>
          <w:tcPr>
            <w:tcW w:w="4264" w:type="dxa"/>
            <w:shd w:val="clear" w:color="auto" w:fill="auto"/>
          </w:tcPr>
          <w:p>
            <w:pPr>
              <w:pStyle w:val="38"/>
            </w:pPr>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lang w:val="en-US" w:eastAsia="zh-CN"/>
              </w:rPr>
              <w:t>1</w:t>
            </w:r>
            <w:r>
              <w:t>9</w:t>
            </w:r>
            <w:r>
              <w:fldChar w:fldCharType="end"/>
            </w:r>
            <w:r>
              <w:t xml:space="preserve"> </w:t>
            </w:r>
            <w:r>
              <w:rPr>
                <w:rFonts w:hint="eastAsia"/>
                <w:lang w:val="en-US" w:eastAsia="zh-CN"/>
              </w:rPr>
              <w:t>蚌埠公司趣味运动会</w:t>
            </w:r>
          </w:p>
        </w:tc>
      </w:tr>
    </w:tbl>
    <w:p>
      <w:pPr>
        <w:pStyle w:val="37"/>
        <w:rPr>
          <w:rFonts w:hint="eastAsia"/>
        </w:rPr>
      </w:pPr>
    </w:p>
    <w:p>
      <w:pPr>
        <w:pStyle w:val="6"/>
        <w:spacing w:before="240" w:after="240"/>
        <w:rPr>
          <w:rFonts w:ascii="宋体" w:hAnsi="宋体"/>
        </w:rPr>
      </w:pPr>
      <w:bookmarkStart w:id="40" w:name="_Toc32950338"/>
      <w:bookmarkStart w:id="41" w:name="_Toc33176294"/>
      <w:bookmarkStart w:id="42" w:name="_Toc32933560"/>
      <w:r>
        <w:rPr>
          <w:rFonts w:hint="eastAsia" w:ascii="宋体" w:hAnsi="宋体"/>
        </w:rPr>
        <w:t>积极落实企业民主管理规定，促进企业持续健康发展</w:t>
      </w:r>
      <w:bookmarkEnd w:id="40"/>
      <w:bookmarkEnd w:id="41"/>
      <w:bookmarkEnd w:id="42"/>
    </w:p>
    <w:p>
      <w:pPr>
        <w:pStyle w:val="37"/>
        <w:rPr>
          <w:rFonts w:hint="eastAsia"/>
          <w:lang w:val="en-US" w:eastAsia="zh-CN"/>
        </w:rPr>
      </w:pPr>
      <w:r>
        <w:rPr>
          <w:rFonts w:hint="eastAsia"/>
        </w:rPr>
        <w:t>环保发电公司积极落实职代会制度，规范民主管理形式。</w:t>
      </w:r>
      <w:r>
        <w:rPr>
          <w:rFonts w:hint="eastAsia"/>
          <w:lang w:val="en-US" w:eastAsia="zh-CN"/>
        </w:rPr>
        <w:t>定远公司严格遵守《劳动法》和《劳动合同法》，规范执行劳动用工制度，与员工通过平等协商签订劳动合同，奉行平等、非歧视的用工政策，与所有员工均已经按照国家和地方有关法律法规签订了《劳动合同》。严禁雇佣童工和超年龄人员。我公司被滁州市人力资源保障局评为“滁州市和谐示范单位”。</w:t>
      </w:r>
    </w:p>
    <w:p>
      <w:pPr>
        <w:pStyle w:val="37"/>
        <w:rPr>
          <w:rFonts w:hint="eastAsia"/>
          <w:lang w:val="en-US" w:eastAsia="zh-CN"/>
        </w:rPr>
      </w:pPr>
      <w:r>
        <w:rPr>
          <w:rFonts w:hint="eastAsia"/>
          <w:lang w:val="en-US" w:eastAsia="zh-CN"/>
        </w:rPr>
        <w:t>为深入推进党风廉政建设，筑牢反腐倡廉防线，制定公司2021年党风廉政建设责任制实施细则，组织召开专题会议，组织签订2021年度党风廉政建设责任书，进一步明确领导班子成员、各部门负责人从严治党中的主体责任，加强“一岗双责”，深入推进并落实乾县公司2021年党风廉政建设和反腐败工作。</w:t>
      </w:r>
    </w:p>
    <w:p>
      <w:pPr>
        <w:pStyle w:val="37"/>
        <w:rPr>
          <w:rFonts w:hint="eastAsia"/>
          <w:lang w:val="en-US" w:eastAsia="zh-CN"/>
        </w:rPr>
      </w:pPr>
      <w:r>
        <w:rPr>
          <w:rFonts w:hint="eastAsia"/>
          <w:lang w:val="en-US" w:eastAsia="zh-CN"/>
        </w:rPr>
        <w:t>及时掀起学习十九届六中全会精神和集团公司第三次党代会精神热潮，切实把思想和行动统一到全会精神上来，坚持以集中学习与自学相结合，开展宪法知识测试活动，组织十九届六中全会精神和集团公司第三次党代会精神宣讲会与职工座谈会。</w:t>
      </w:r>
    </w:p>
    <w:tbl>
      <w:tblPr>
        <w:tblStyle w:val="22"/>
        <w:tblW w:w="0" w:type="auto"/>
        <w:jc w:val="center"/>
        <w:tblLayout w:type="fixed"/>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rPr>
          <w:jc w:val="center"/>
        </w:trPr>
        <w:tc>
          <w:tcPr>
            <w:tcW w:w="4264" w:type="dxa"/>
            <w:shd w:val="clear" w:color="auto" w:fill="auto"/>
          </w:tcPr>
          <w:p>
            <w:pPr>
              <w:pStyle w:val="42"/>
            </w:pPr>
            <w:r>
              <w:rPr>
                <w:rFonts w:hint="eastAsia" w:eastAsia="宋体"/>
                <w:color w:val="auto"/>
                <w:lang w:eastAsia="zh-CN"/>
              </w:rPr>
              <w:drawing>
                <wp:inline distT="0" distB="0" distL="114300" distR="114300">
                  <wp:extent cx="2628265" cy="1979930"/>
                  <wp:effectExtent l="0" t="0" r="635" b="1270"/>
                  <wp:docPr id="23" name="图片 23" descr="QQ截图20220224091026"/>
                  <wp:cNvGraphicFramePr/>
                  <a:graphic xmlns:a="http://schemas.openxmlformats.org/drawingml/2006/main">
                    <a:graphicData uri="http://schemas.openxmlformats.org/drawingml/2006/picture">
                      <pic:pic xmlns:pic="http://schemas.openxmlformats.org/drawingml/2006/picture">
                        <pic:nvPicPr>
                          <pic:cNvPr id="23" name="图片 23" descr="QQ截图20220224091026"/>
                          <pic:cNvPicPr/>
                        </pic:nvPicPr>
                        <pic:blipFill>
                          <a:blip r:embed="rId29"/>
                          <a:stretch>
                            <a:fillRect/>
                          </a:stretch>
                        </pic:blipFill>
                        <pic:spPr>
                          <a:xfrm>
                            <a:off x="0" y="0"/>
                            <a:ext cx="2628265" cy="1979930"/>
                          </a:xfrm>
                          <a:prstGeom prst="rect">
                            <a:avLst/>
                          </a:prstGeom>
                        </pic:spPr>
                      </pic:pic>
                    </a:graphicData>
                  </a:graphic>
                </wp:inline>
              </w:drawing>
            </w:r>
          </w:p>
        </w:tc>
        <w:tc>
          <w:tcPr>
            <w:tcW w:w="4264" w:type="dxa"/>
            <w:shd w:val="clear" w:color="auto" w:fill="auto"/>
          </w:tcPr>
          <w:p>
            <w:pPr>
              <w:pStyle w:val="42"/>
            </w:pPr>
            <w:r>
              <w:rPr>
                <w:rFonts w:hint="eastAsia"/>
                <w:lang w:val="en-US" w:eastAsia="zh-CN"/>
              </w:rPr>
              <w:drawing>
                <wp:anchor distT="0" distB="0" distL="114300" distR="114300" simplePos="0" relativeHeight="251668480" behindDoc="0" locked="0" layoutInCell="1" allowOverlap="1">
                  <wp:simplePos x="0" y="0"/>
                  <wp:positionH relativeFrom="margin">
                    <wp:posOffset>-41275</wp:posOffset>
                  </wp:positionH>
                  <wp:positionV relativeFrom="margin">
                    <wp:posOffset>3810</wp:posOffset>
                  </wp:positionV>
                  <wp:extent cx="2592070" cy="1943735"/>
                  <wp:effectExtent l="0" t="0" r="17780" b="18415"/>
                  <wp:wrapSquare wrapText="bothSides"/>
                  <wp:docPr id="27" name="图片 27" descr="C:\Users\003\Documents\Tencent Files\429173156\FileRecv\IMG_20220214_10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003\Documents\Tencent Files\429173156\FileRecv\IMG_20220214_10185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92000" cy="1944000"/>
                          </a:xfrm>
                          <a:prstGeom prst="rect">
                            <a:avLst/>
                          </a:prstGeom>
                          <a:noFill/>
                          <a:ln>
                            <a:noFill/>
                          </a:ln>
                        </pic:spPr>
                      </pic:pic>
                    </a:graphicData>
                  </a:graphic>
                </wp:anchor>
              </w:drawing>
            </w:r>
          </w:p>
        </w:tc>
      </w:tr>
      <w:tr>
        <w:trPr>
          <w:jc w:val="center"/>
        </w:trPr>
        <w:tc>
          <w:tcPr>
            <w:tcW w:w="4264" w:type="dxa"/>
            <w:shd w:val="clear" w:color="auto" w:fill="auto"/>
          </w:tcPr>
          <w:p>
            <w:pPr>
              <w:pStyle w:val="38"/>
            </w:pPr>
            <w:r>
              <w:rPr>
                <w:rFonts w:hint="eastAsia"/>
              </w:rPr>
              <w:t>图</w:t>
            </w:r>
            <w:r>
              <w:rPr>
                <w:rFonts w:hint="eastAsia"/>
                <w:lang w:val="en-US" w:eastAsia="zh-CN"/>
              </w:rPr>
              <w:t>20</w:t>
            </w:r>
            <w:r>
              <w:t xml:space="preserve"> </w:t>
            </w:r>
            <w:r>
              <w:rPr>
                <w:rFonts w:hint="eastAsia"/>
                <w:lang w:eastAsia="zh-CN"/>
              </w:rPr>
              <w:t>定远</w:t>
            </w:r>
            <w:r>
              <w:rPr>
                <w:rFonts w:hint="eastAsia"/>
              </w:rPr>
              <w:t>公司</w:t>
            </w:r>
            <w:r>
              <w:rPr>
                <w:rFonts w:hint="eastAsia"/>
                <w:lang w:eastAsia="zh-CN"/>
              </w:rPr>
              <w:t>职工代表大</w:t>
            </w:r>
            <w:r>
              <w:rPr>
                <w:rFonts w:hint="eastAsia"/>
              </w:rPr>
              <w:t>会</w:t>
            </w:r>
          </w:p>
        </w:tc>
        <w:tc>
          <w:tcPr>
            <w:tcW w:w="4264" w:type="dxa"/>
            <w:shd w:val="clear" w:color="auto" w:fill="auto"/>
          </w:tcPr>
          <w:p>
            <w:pPr>
              <w:pStyle w:val="38"/>
            </w:pPr>
            <w:r>
              <w:rPr>
                <w:rFonts w:hint="eastAsia"/>
              </w:rPr>
              <w:t>图</w:t>
            </w:r>
            <w:r>
              <w:rPr>
                <w:rFonts w:hint="eastAsia"/>
                <w:lang w:val="en-US" w:eastAsia="zh-CN"/>
              </w:rPr>
              <w:t>21</w:t>
            </w:r>
            <w:r>
              <w:t xml:space="preserve"> </w:t>
            </w:r>
            <w:r>
              <w:rPr>
                <w:rFonts w:hint="eastAsia" w:ascii="仿宋_GB2312" w:hAnsi="黑体"/>
                <w:b/>
                <w:bCs/>
                <w:sz w:val="21"/>
                <w:szCs w:val="21"/>
              </w:rPr>
              <w:t>乾县公司组织职工座谈会</w:t>
            </w:r>
          </w:p>
        </w:tc>
      </w:tr>
    </w:tbl>
    <w:p>
      <w:pPr>
        <w:pStyle w:val="6"/>
        <w:spacing w:before="240" w:after="240"/>
        <w:rPr>
          <w:rFonts w:ascii="宋体" w:hAnsi="宋体"/>
        </w:rPr>
      </w:pPr>
      <w:bookmarkStart w:id="43" w:name="_Toc33176295"/>
      <w:bookmarkStart w:id="44" w:name="_Toc32933561"/>
      <w:bookmarkStart w:id="45" w:name="_Toc32950339"/>
      <w:r>
        <w:rPr>
          <w:rFonts w:hint="eastAsia" w:ascii="宋体" w:hAnsi="宋体"/>
        </w:rPr>
        <w:t>坚持以人为本关爱员工，增强企业凝聚力</w:t>
      </w:r>
      <w:bookmarkEnd w:id="43"/>
      <w:bookmarkEnd w:id="44"/>
      <w:bookmarkEnd w:id="45"/>
    </w:p>
    <w:p>
      <w:pPr>
        <w:pStyle w:val="37"/>
      </w:pPr>
      <w:r>
        <w:rPr>
          <w:rFonts w:hint="eastAsia"/>
        </w:rPr>
        <w:t>环保发电公司坚持以人为本，始终把关爱职工作为维护职工权益的重要形式，切实关心职工生活。每年开展“冬送温暖、夏送清凉”活动，</w:t>
      </w:r>
      <w:r>
        <w:rPr>
          <w:rFonts w:hint="eastAsia"/>
          <w:shd w:val="clear" w:color="auto" w:fill="FFFFFF"/>
        </w:rPr>
        <w:t>组织职工体检活动，针对各年龄对象和性别，尤其关注对女职工，制定了不同的体检方案，为职工健康生活、安心工作筑起了一道保护墙，进一步提高了职工的向心力和归属感。同时</w:t>
      </w:r>
      <w:r>
        <w:rPr>
          <w:rFonts w:hint="eastAsia"/>
        </w:rPr>
        <w:t>关心弱势群体，推行职工大病救助制度，实现精准帮扶。</w:t>
      </w:r>
    </w:p>
    <w:p>
      <w:pPr>
        <w:pStyle w:val="37"/>
        <w:rPr>
          <w:rFonts w:hint="eastAsia"/>
          <w:lang w:val="en-US" w:eastAsia="zh-CN"/>
        </w:rPr>
      </w:pPr>
      <w:r>
        <w:rPr>
          <w:rFonts w:hint="eastAsia"/>
          <w:lang w:val="en-US" w:eastAsia="zh-CN"/>
        </w:rPr>
        <w:t>颍上公司一是认真落实职工关爱制度。在职工遇婚丧嫁娶等情况，及时代表公司给予他们慰问；在职工生日期间，及时送上生日慰问；在建军节期间，组织开展退伍军人慰问活动；在春节、中秋等重要节日前，组织开展节日慰问的工作；为关爱女性职工，营造和谐工作氛围，组织开展“三八妇女节女职工采摘”活动。全年慰问488人次，慰问金额118143.8元；二是为方便职工晾晒衣物，改善住宿环境，公司党支部安排专人负责在宿舍楼顶安装了晾衣架，晾衣架的安装不仅改善了职工晾晒衣物和被子不方便的问题，也给职工创造了一个良好的生活环境；三是公司严把菜品采购验收关，组织党员服务队开展采购菜品安全检查工作，对采购的菜品进行认真检查，确保职工能够吃到安全、放心、新鲜的肉类和蔬菜；四是为切实加强公司的企业文化建设，丰富公司员工的业余文体生活，组织开展了职工篮球赛、“掼蛋比赛”、职工观影、“庆元旦、迎春节”职工运动会等活动，充分发挥了员工的团队协作意识，增强了公司员工的凝聚力和战斗力，提高了公司员工的归属感和向心力，进一步丰富企业员工业余活动，提高团队凝聚力，促进公司持续、健康、稳定发展。</w:t>
      </w:r>
    </w:p>
    <w:p>
      <w:pPr>
        <w:spacing w:line="580" w:lineRule="exact"/>
        <w:ind w:firstLine="560" w:firstLineChars="200"/>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长丰生物质公司注重员工关爱工作，以保障员工权益为出发点，将“以人为本”的经营理念融入企业文化建设，落实员工关爱制度，增强员工的归属感和幸福感，不断提升企业的凝聚力和向心力。不断改善员工食堂、宿舍、活动室的环境，开展丰富的文体活动，为员工提供安心、舒心的工作和生活环境，真正做到以厂为家。在员工生日、结婚、女职工生产、离退休之时，送去关心慰问。公司注重对困难职工的帮扶，了解他们的实际困难和需求，为他们提供物质上的帮助和精神上的关心，让职工感受到公司的人文关怀。</w:t>
      </w:r>
    </w:p>
    <w:p>
      <w:pPr>
        <w:pStyle w:val="2"/>
        <w:keepNext w:val="0"/>
        <w:keepLines w:val="0"/>
        <w:pageBreakBefore w:val="0"/>
        <w:widowControl/>
        <w:kinsoku/>
        <w:wordWrap/>
        <w:overflowPunct/>
        <w:topLinePunct w:val="0"/>
        <w:autoSpaceDE/>
        <w:autoSpaceDN/>
        <w:bidi w:val="0"/>
        <w:adjustRightInd w:val="0"/>
        <w:snapToGrid/>
        <w:spacing w:line="360" w:lineRule="auto"/>
        <w:jc w:val="left"/>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安庆公司关心员工生活，提高企业凝聚力和战斗力。2021年，</w:t>
      </w:r>
    </w:p>
    <w:p>
      <w:pPr>
        <w:pStyle w:val="2"/>
        <w:keepNext w:val="0"/>
        <w:keepLines w:val="0"/>
        <w:pageBreakBefore w:val="0"/>
        <w:widowControl/>
        <w:kinsoku/>
        <w:wordWrap/>
        <w:overflowPunct/>
        <w:topLinePunct w:val="0"/>
        <w:autoSpaceDE/>
        <w:autoSpaceDN/>
        <w:bidi w:val="0"/>
        <w:adjustRightInd w:val="0"/>
        <w:snapToGrid/>
        <w:spacing w:line="360" w:lineRule="auto"/>
        <w:ind w:left="0" w:leftChars="0" w:firstLine="0" w:firstLineChars="0"/>
        <w:jc w:val="left"/>
        <w:textAlignment w:val="auto"/>
      </w:pPr>
      <w:r>
        <w:rPr>
          <w:rFonts w:hint="eastAsia" w:ascii="仿宋" w:hAnsi="仿宋" w:eastAsia="仿宋" w:cs="Times New Roman"/>
          <w:kern w:val="2"/>
          <w:sz w:val="28"/>
          <w:szCs w:val="28"/>
          <w:lang w:val="en-US" w:eastAsia="zh-CN" w:bidi="ar-SA"/>
        </w:rPr>
        <w:t>公司工会先后开展了夏日送清凉、“春节”、“中秋节”、“三八妇女节”等节日慰问，开展员工生日慰问117人次，结婚慰问1人次，生病员工及家属14人次，为培育和践行社会主义核心价值观，组织开展了普法宣传、消防知识讲座进一步提高了广大员工不断提高员工安全意识、法制意识和自我防护能力，也为公司安全稳定经营奠定了坚实基础。公司高度重视员工健康，开展员工健康体检、职业病体检，还通过健康知识讲座及体检报告解读把关心关爱员工落到实处。</w:t>
      </w:r>
    </w:p>
    <w:tbl>
      <w:tblPr>
        <w:tblStyle w:val="22"/>
        <w:tblW w:w="0" w:type="auto"/>
        <w:tblInd w:w="0" w:type="dxa"/>
        <w:tblLayout w:type="autofit"/>
        <w:tblCellMar>
          <w:top w:w="0" w:type="dxa"/>
          <w:left w:w="108" w:type="dxa"/>
          <w:bottom w:w="0" w:type="dxa"/>
          <w:right w:w="108" w:type="dxa"/>
        </w:tblCellMar>
      </w:tblPr>
      <w:tblGrid>
        <w:gridCol w:w="4356"/>
        <w:gridCol w:w="4172"/>
      </w:tblGrid>
      <w:tr>
        <w:tblPrEx>
          <w:tblCellMar>
            <w:top w:w="0" w:type="dxa"/>
            <w:left w:w="108" w:type="dxa"/>
            <w:bottom w:w="0" w:type="dxa"/>
            <w:right w:w="108" w:type="dxa"/>
          </w:tblCellMar>
        </w:tblPrEx>
        <w:tc>
          <w:tcPr>
            <w:tcW w:w="4264" w:type="dxa"/>
            <w:shd w:val="clear" w:color="auto" w:fill="auto"/>
          </w:tcPr>
          <w:p>
            <w:pPr>
              <w:pStyle w:val="42"/>
            </w:pPr>
            <w:r>
              <w:rPr>
                <w:rFonts w:hint="eastAsia" w:asciiTheme="minorEastAsia" w:hAnsiTheme="minorEastAsia" w:eastAsiaTheme="minorEastAsia"/>
                <w:sz w:val="28"/>
                <w:szCs w:val="28"/>
              </w:rPr>
              <w:drawing>
                <wp:anchor distT="0" distB="0" distL="114300" distR="114300" simplePos="0" relativeHeight="251670528" behindDoc="0" locked="0" layoutInCell="1" allowOverlap="1">
                  <wp:simplePos x="0" y="0"/>
                  <wp:positionH relativeFrom="column">
                    <wp:posOffset>2679065</wp:posOffset>
                  </wp:positionH>
                  <wp:positionV relativeFrom="paragraph">
                    <wp:posOffset>6350</wp:posOffset>
                  </wp:positionV>
                  <wp:extent cx="2628265" cy="1979930"/>
                  <wp:effectExtent l="0" t="0" r="635" b="1270"/>
                  <wp:wrapNone/>
                  <wp:docPr id="31" name="图片 5" descr="IMG_256"/>
                  <wp:cNvGraphicFramePr/>
                  <a:graphic xmlns:a="http://schemas.openxmlformats.org/drawingml/2006/main">
                    <a:graphicData uri="http://schemas.openxmlformats.org/drawingml/2006/picture">
                      <pic:pic xmlns:pic="http://schemas.openxmlformats.org/drawingml/2006/picture">
                        <pic:nvPicPr>
                          <pic:cNvPr id="31" name="图片 5" descr="IMG_256"/>
                          <pic:cNvPicPr/>
                        </pic:nvPicPr>
                        <pic:blipFill>
                          <a:blip r:embed="rId31"/>
                          <a:stretch>
                            <a:fillRect/>
                          </a:stretch>
                        </pic:blipFill>
                        <pic:spPr>
                          <a:xfrm>
                            <a:off x="0" y="0"/>
                            <a:ext cx="2628265" cy="1979930"/>
                          </a:xfrm>
                          <a:prstGeom prst="rect">
                            <a:avLst/>
                          </a:prstGeom>
                          <a:noFill/>
                          <a:ln w="9525">
                            <a:noFill/>
                          </a:ln>
                        </pic:spPr>
                      </pic:pic>
                    </a:graphicData>
                  </a:graphic>
                </wp:anchor>
              </w:drawing>
            </w:r>
            <w:r>
              <w:rPr>
                <w:rFonts w:hint="eastAsia" w:ascii="仿宋_GB2312" w:hAnsi="仿宋_GB2312" w:eastAsia="仿宋_GB2312" w:cs="仿宋_GB2312"/>
                <w:color w:val="000000"/>
                <w:sz w:val="32"/>
                <w:szCs w:val="32"/>
              </w:rPr>
              <w:drawing>
                <wp:inline distT="0" distB="0" distL="114300" distR="114300">
                  <wp:extent cx="2628265" cy="1979930"/>
                  <wp:effectExtent l="0" t="0" r="635" b="1270"/>
                  <wp:docPr id="30" name="图片 11" descr="E:\976828564\Image\C2C\Image1\82B9A97B8EE55769EE58C0DED850C291.png"/>
                  <wp:cNvGraphicFramePr/>
                  <a:graphic xmlns:a="http://schemas.openxmlformats.org/drawingml/2006/main">
                    <a:graphicData uri="http://schemas.openxmlformats.org/drawingml/2006/picture">
                      <pic:pic xmlns:pic="http://schemas.openxmlformats.org/drawingml/2006/picture">
                        <pic:nvPicPr>
                          <pic:cNvPr id="30" name="图片 11" descr="E:\976828564\Image\C2C\Image1\82B9A97B8EE55769EE58C0DED850C291.png"/>
                          <pic:cNvPicPr/>
                        </pic:nvPicPr>
                        <pic:blipFill>
                          <a:blip r:embed="rId32" r:link="rId33"/>
                          <a:srcRect t="6158" b="13277"/>
                          <a:stretch>
                            <a:fillRect/>
                          </a:stretch>
                        </pic:blipFill>
                        <pic:spPr>
                          <a:xfrm>
                            <a:off x="0" y="0"/>
                            <a:ext cx="2628265" cy="1979930"/>
                          </a:xfrm>
                          <a:prstGeom prst="rect">
                            <a:avLst/>
                          </a:prstGeom>
                          <a:noFill/>
                          <a:ln>
                            <a:noFill/>
                          </a:ln>
                        </pic:spPr>
                      </pic:pic>
                    </a:graphicData>
                  </a:graphic>
                </wp:inline>
              </w:drawing>
            </w:r>
          </w:p>
        </w:tc>
        <w:tc>
          <w:tcPr>
            <w:tcW w:w="4264" w:type="dxa"/>
            <w:shd w:val="clear" w:color="auto" w:fill="auto"/>
          </w:tcPr>
          <w:p>
            <w:pPr>
              <w:pStyle w:val="42"/>
            </w:pPr>
          </w:p>
        </w:tc>
      </w:tr>
      <w:tr>
        <w:tblPrEx>
          <w:tblCellMar>
            <w:top w:w="0" w:type="dxa"/>
            <w:left w:w="108" w:type="dxa"/>
            <w:bottom w:w="0" w:type="dxa"/>
            <w:right w:w="108" w:type="dxa"/>
          </w:tblCellMar>
        </w:tblPrEx>
        <w:tc>
          <w:tcPr>
            <w:tcW w:w="4264" w:type="dxa"/>
            <w:shd w:val="clear" w:color="auto" w:fill="auto"/>
          </w:tcPr>
          <w:p>
            <w:pPr>
              <w:pStyle w:val="38"/>
              <w:rPr>
                <w:rFonts w:hint="eastAsia" w:eastAsia="仿宋"/>
                <w:lang w:eastAsia="zh-CN"/>
              </w:rPr>
            </w:pPr>
            <w:r>
              <w:rPr>
                <w:rFonts w:hint="eastAsia"/>
              </w:rPr>
              <w:t>图</w:t>
            </w:r>
            <w:r>
              <w:rPr>
                <w:rFonts w:hint="eastAsia"/>
                <w:lang w:val="en-US" w:eastAsia="zh-CN"/>
              </w:rPr>
              <w:t>22</w:t>
            </w:r>
            <w:r>
              <w:t xml:space="preserve"> </w:t>
            </w:r>
            <w:r>
              <w:rPr>
                <w:rFonts w:hint="eastAsia"/>
                <w:lang w:eastAsia="zh-CN"/>
              </w:rPr>
              <w:t>长生</w:t>
            </w:r>
            <w:r>
              <w:rPr>
                <w:rFonts w:hint="eastAsia"/>
              </w:rPr>
              <w:t>公司</w:t>
            </w:r>
            <w:r>
              <w:rPr>
                <w:rFonts w:hint="eastAsia"/>
                <w:lang w:eastAsia="zh-CN"/>
              </w:rPr>
              <w:t>员工关爱</w:t>
            </w:r>
          </w:p>
        </w:tc>
        <w:tc>
          <w:tcPr>
            <w:tcW w:w="4264" w:type="dxa"/>
            <w:shd w:val="clear" w:color="auto" w:fill="auto"/>
          </w:tcPr>
          <w:p>
            <w:pPr>
              <w:pStyle w:val="38"/>
            </w:pPr>
            <w:r>
              <w:rPr>
                <w:rFonts w:hint="eastAsia"/>
              </w:rPr>
              <w:t>图</w:t>
            </w:r>
            <w:r>
              <w:rPr>
                <w:rFonts w:hint="eastAsia"/>
                <w:lang w:val="en-US" w:eastAsia="zh-CN"/>
              </w:rPr>
              <w:t>23</w:t>
            </w:r>
            <w:r>
              <w:t xml:space="preserve"> </w:t>
            </w:r>
            <w:r>
              <w:rPr>
                <w:rFonts w:hint="eastAsia"/>
              </w:rPr>
              <w:t>安庆公司庆三八包饺子送温暖</w:t>
            </w:r>
          </w:p>
        </w:tc>
      </w:tr>
    </w:tbl>
    <w:p>
      <w:pPr>
        <w:pStyle w:val="37"/>
        <w:rPr>
          <w:rFonts w:hint="eastAsia"/>
          <w:lang w:val="en-US" w:eastAsia="zh-CN"/>
        </w:rPr>
      </w:pPr>
      <w:r>
        <w:rPr>
          <w:rFonts w:hint="eastAsia"/>
          <w:lang w:val="en-US" w:eastAsia="zh-CN"/>
        </w:rPr>
        <w:t>定远公司</w:t>
      </w:r>
      <w:r>
        <w:rPr>
          <w:rFonts w:hint="eastAsia"/>
        </w:rPr>
        <w:t>坚持以人为本，始终把关爱职工作为维护职工权益的重要形式，切实关心职工生活。</w:t>
      </w:r>
      <w:r>
        <w:rPr>
          <w:rFonts w:hint="eastAsia"/>
          <w:lang w:val="en-US" w:eastAsia="zh-CN"/>
        </w:rPr>
        <w:t>为了增强团队意识，积极组织各项文体活动。春节期间，组织拔河比赛、羽毛球比赛、跳绳比赛、掷飞镖比赛；立春时节组织毅行活动；五四青年节组织“王者荣耀”游戏比赛；中秋节组织采摘活动、射箭、真人CS、沙滩越野车、网红桥等活动；国庆期间，组织铅球、五子棋、象棋等比赛活动，通过活动的开展，丰富职工业余文化生活，增加团队凝聚力，彰显基层工会活力。</w:t>
      </w:r>
    </w:p>
    <w:p>
      <w:pPr>
        <w:pStyle w:val="37"/>
        <w:rPr>
          <w:rFonts w:hint="eastAsia"/>
          <w:lang w:val="en-US" w:eastAsia="zh-CN"/>
        </w:rPr>
      </w:pPr>
      <w:r>
        <w:rPr>
          <w:rFonts w:hint="eastAsia"/>
          <w:lang w:val="en-US" w:eastAsia="zh-CN"/>
        </w:rPr>
        <w:t>临泉公司实施“五个一强基活动”，此次活动广泛征求职工意见，支委会讨论通过，从关心职工成长和生活等方面推进为职工多办实事、多办好事的“民生”工程建设。截止年底，员工反映问题基本落实完成，实现以文化融合人心，提升员工幸福指数的目标。 通过此次“五个一”强基行动开展领导与员工面对面交流，增进了同事间友谊关系，聆听基层心声，促进企业和谐发展。</w:t>
      </w:r>
    </w:p>
    <w:tbl>
      <w:tblPr>
        <w:tblStyle w:val="22"/>
        <w:tblW w:w="0" w:type="auto"/>
        <w:tblInd w:w="0" w:type="dxa"/>
        <w:tblLayout w:type="autofit"/>
        <w:tblCellMar>
          <w:top w:w="0" w:type="dxa"/>
          <w:left w:w="108" w:type="dxa"/>
          <w:bottom w:w="0" w:type="dxa"/>
          <w:right w:w="108" w:type="dxa"/>
        </w:tblCellMar>
      </w:tblPr>
      <w:tblGrid>
        <w:gridCol w:w="4264"/>
        <w:gridCol w:w="4264"/>
      </w:tblGrid>
      <w:tr>
        <w:tc>
          <w:tcPr>
            <w:tcW w:w="4264" w:type="dxa"/>
            <w:shd w:val="clear" w:color="auto" w:fill="auto"/>
          </w:tcPr>
          <w:p>
            <w:pPr>
              <w:pStyle w:val="42"/>
            </w:pPr>
            <w:r>
              <w:rPr>
                <w:rFonts w:hint="eastAsia" w:eastAsia="宋体"/>
                <w:color w:val="auto"/>
                <w:lang w:eastAsia="zh-CN"/>
              </w:rPr>
              <w:drawing>
                <wp:inline distT="0" distB="0" distL="114300" distR="114300">
                  <wp:extent cx="2628265" cy="1979930"/>
                  <wp:effectExtent l="0" t="0" r="635" b="1270"/>
                  <wp:docPr id="32" name="图片 32" descr="QQ截图20220224091420"/>
                  <wp:cNvGraphicFramePr/>
                  <a:graphic xmlns:a="http://schemas.openxmlformats.org/drawingml/2006/main">
                    <a:graphicData uri="http://schemas.openxmlformats.org/drawingml/2006/picture">
                      <pic:pic xmlns:pic="http://schemas.openxmlformats.org/drawingml/2006/picture">
                        <pic:nvPicPr>
                          <pic:cNvPr id="32" name="图片 32" descr="QQ截图20220224091420"/>
                          <pic:cNvPicPr/>
                        </pic:nvPicPr>
                        <pic:blipFill>
                          <a:blip r:embed="rId34"/>
                          <a:stretch>
                            <a:fillRect/>
                          </a:stretch>
                        </pic:blipFill>
                        <pic:spPr>
                          <a:xfrm>
                            <a:off x="0" y="0"/>
                            <a:ext cx="2628265" cy="1979930"/>
                          </a:xfrm>
                          <a:prstGeom prst="rect">
                            <a:avLst/>
                          </a:prstGeom>
                        </pic:spPr>
                      </pic:pic>
                    </a:graphicData>
                  </a:graphic>
                </wp:inline>
              </w:drawing>
            </w:r>
          </w:p>
        </w:tc>
        <w:tc>
          <w:tcPr>
            <w:tcW w:w="4264" w:type="dxa"/>
            <w:shd w:val="clear" w:color="auto" w:fill="auto"/>
          </w:tcPr>
          <w:p>
            <w:pPr>
              <w:pStyle w:val="42"/>
            </w:pPr>
            <w:r>
              <w:rPr>
                <w:rFonts w:hint="eastAsia" w:ascii="仿宋_GB2312" w:hAnsi="仿宋_GB2312" w:eastAsia="仿宋_GB2312" w:cs="仿宋_GB2312"/>
                <w:kern w:val="2"/>
                <w:sz w:val="32"/>
                <w:szCs w:val="32"/>
                <w:lang w:val="en-US" w:eastAsia="zh-CN" w:bidi="ar-SA"/>
              </w:rPr>
              <w:drawing>
                <wp:inline distT="0" distB="0" distL="114300" distR="114300">
                  <wp:extent cx="2628265" cy="1979930"/>
                  <wp:effectExtent l="0" t="0" r="635" b="1270"/>
                  <wp:docPr id="33" name="图片 33" descr="IMG_3523"/>
                  <wp:cNvGraphicFramePr/>
                  <a:graphic xmlns:a="http://schemas.openxmlformats.org/drawingml/2006/main">
                    <a:graphicData uri="http://schemas.openxmlformats.org/drawingml/2006/picture">
                      <pic:pic xmlns:pic="http://schemas.openxmlformats.org/drawingml/2006/picture">
                        <pic:nvPicPr>
                          <pic:cNvPr id="33" name="图片 33" descr="IMG_3523"/>
                          <pic:cNvPicPr/>
                        </pic:nvPicPr>
                        <pic:blipFill>
                          <a:blip r:embed="rId35"/>
                          <a:stretch>
                            <a:fillRect/>
                          </a:stretch>
                        </pic:blipFill>
                        <pic:spPr>
                          <a:xfrm>
                            <a:off x="0" y="0"/>
                            <a:ext cx="2628265" cy="1979930"/>
                          </a:xfrm>
                          <a:prstGeom prst="rect">
                            <a:avLst/>
                          </a:prstGeom>
                        </pic:spPr>
                      </pic:pic>
                    </a:graphicData>
                  </a:graphic>
                </wp:inline>
              </w:drawing>
            </w:r>
          </w:p>
        </w:tc>
      </w:tr>
      <w:tr>
        <w:tblPrEx>
          <w:tblCellMar>
            <w:top w:w="0" w:type="dxa"/>
            <w:left w:w="108" w:type="dxa"/>
            <w:bottom w:w="0" w:type="dxa"/>
            <w:right w:w="108" w:type="dxa"/>
          </w:tblCellMar>
        </w:tblPrEx>
        <w:tc>
          <w:tcPr>
            <w:tcW w:w="4264" w:type="dxa"/>
            <w:shd w:val="clear" w:color="auto" w:fill="auto"/>
          </w:tcPr>
          <w:p>
            <w:pPr>
              <w:pStyle w:val="38"/>
            </w:pPr>
            <w:r>
              <w:rPr>
                <w:rFonts w:hint="eastAsia"/>
              </w:rPr>
              <w:t>图</w:t>
            </w:r>
            <w:r>
              <w:rPr>
                <w:rFonts w:hint="eastAsia"/>
                <w:lang w:val="en-US" w:eastAsia="zh-CN"/>
              </w:rPr>
              <w:t>24</w:t>
            </w:r>
            <w:r>
              <w:t xml:space="preserve"> </w:t>
            </w:r>
            <w:r>
              <w:rPr>
                <w:rFonts w:hint="eastAsia"/>
                <w:lang w:eastAsia="zh-CN"/>
              </w:rPr>
              <w:t>定远</w:t>
            </w:r>
            <w:r>
              <w:rPr>
                <w:rFonts w:hint="eastAsia"/>
              </w:rPr>
              <w:t>公司</w:t>
            </w:r>
            <w:r>
              <w:rPr>
                <w:rFonts w:hint="eastAsia"/>
                <w:lang w:eastAsia="zh-CN"/>
              </w:rPr>
              <w:t>采摘</w:t>
            </w:r>
            <w:r>
              <w:rPr>
                <w:rFonts w:hint="eastAsia"/>
              </w:rPr>
              <w:t>活动</w:t>
            </w:r>
          </w:p>
        </w:tc>
        <w:tc>
          <w:tcPr>
            <w:tcW w:w="4264" w:type="dxa"/>
            <w:shd w:val="clear" w:color="auto" w:fill="auto"/>
          </w:tcPr>
          <w:p>
            <w:pPr>
              <w:pStyle w:val="38"/>
              <w:rPr>
                <w:rFonts w:hint="eastAsia"/>
                <w:lang w:val="en-US" w:eastAsia="zh-CN"/>
              </w:rPr>
            </w:pPr>
            <w:r>
              <w:rPr>
                <w:rFonts w:hint="eastAsia"/>
              </w:rPr>
              <w:t>图</w:t>
            </w:r>
            <w:r>
              <w:rPr>
                <w:rFonts w:hint="eastAsia"/>
                <w:lang w:val="en-US" w:eastAsia="zh-CN"/>
              </w:rPr>
              <w:t>25</w:t>
            </w:r>
            <w:r>
              <w:t xml:space="preserve"> </w:t>
            </w:r>
            <w:r>
              <w:rPr>
                <w:rFonts w:hint="eastAsia"/>
              </w:rPr>
              <w:t>临泉公司</w:t>
            </w:r>
            <w:r>
              <w:rPr>
                <w:rFonts w:hint="eastAsia"/>
                <w:lang w:eastAsia="zh-CN"/>
              </w:rPr>
              <w:t>为员工安装</w:t>
            </w:r>
            <w:r>
              <w:rPr>
                <w:rFonts w:hint="eastAsia"/>
                <w:lang w:val="en-US" w:eastAsia="zh-CN"/>
              </w:rPr>
              <w:t>自动售货机</w:t>
            </w:r>
          </w:p>
          <w:p>
            <w:pPr>
              <w:pStyle w:val="38"/>
              <w:rPr>
                <w:rFonts w:hint="eastAsia" w:eastAsia="仿宋"/>
                <w:lang w:eastAsia="zh-CN"/>
              </w:rPr>
            </w:pPr>
          </w:p>
        </w:tc>
      </w:tr>
      <w:tr>
        <w:tblPrEx>
          <w:tblCellMar>
            <w:top w:w="0" w:type="dxa"/>
            <w:left w:w="108" w:type="dxa"/>
            <w:bottom w:w="0" w:type="dxa"/>
            <w:right w:w="108" w:type="dxa"/>
          </w:tblCellMar>
        </w:tblPrEx>
        <w:tc>
          <w:tcPr>
            <w:tcW w:w="4264" w:type="dxa"/>
            <w:shd w:val="clear" w:color="auto" w:fill="auto"/>
          </w:tcPr>
          <w:p>
            <w:pPr>
              <w:pStyle w:val="38"/>
              <w:rPr>
                <w:rFonts w:hint="eastAsia"/>
              </w:rPr>
            </w:pPr>
            <w:r>
              <w:rPr>
                <w:rFonts w:ascii="黑体" w:hAnsi="黑体" w:eastAsia="黑体"/>
                <w:bCs/>
                <w:color w:val="000000" w:themeColor="text1"/>
                <w:sz w:val="36"/>
                <w:szCs w:val="36"/>
                <w14:textFill>
                  <w14:solidFill>
                    <w14:schemeClr w14:val="tx1"/>
                  </w14:solidFill>
                </w14:textFill>
              </w:rPr>
              <w:drawing>
                <wp:inline distT="0" distB="0" distL="114300" distR="114300">
                  <wp:extent cx="2628265" cy="1979930"/>
                  <wp:effectExtent l="0" t="0" r="635" b="1270"/>
                  <wp:docPr id="34" name="图片 34" descr="C:\Users\003\Documents\Tencent Files\429173156\FileRecv\活动照片.jpg"/>
                  <wp:cNvGraphicFramePr/>
                  <a:graphic xmlns:a="http://schemas.openxmlformats.org/drawingml/2006/main">
                    <a:graphicData uri="http://schemas.openxmlformats.org/drawingml/2006/picture">
                      <pic:pic xmlns:pic="http://schemas.openxmlformats.org/drawingml/2006/picture">
                        <pic:nvPicPr>
                          <pic:cNvPr id="34" name="图片 34" descr="C:\Users\003\Documents\Tencent Files\429173156\FileRecv\活动照片.jpg"/>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28265" cy="1979930"/>
                          </a:xfrm>
                          <a:prstGeom prst="rect">
                            <a:avLst/>
                          </a:prstGeom>
                          <a:noFill/>
                          <a:ln>
                            <a:noFill/>
                          </a:ln>
                        </pic:spPr>
                      </pic:pic>
                    </a:graphicData>
                  </a:graphic>
                </wp:inline>
              </w:drawing>
            </w:r>
          </w:p>
          <w:p>
            <w:pPr>
              <w:pStyle w:val="38"/>
              <w:rPr>
                <w:rFonts w:hint="eastAsia"/>
              </w:rPr>
            </w:pPr>
            <w:r>
              <w:rPr>
                <w:rFonts w:hint="eastAsia"/>
              </w:rPr>
              <w:t>图</w:t>
            </w:r>
            <w:r>
              <w:rPr>
                <w:rFonts w:hint="eastAsia"/>
                <w:lang w:val="en-US" w:eastAsia="zh-CN"/>
              </w:rPr>
              <w:t>26</w:t>
            </w:r>
            <w:r>
              <w:t xml:space="preserve"> </w:t>
            </w:r>
            <w:r>
              <w:rPr>
                <w:rFonts w:hint="eastAsia"/>
                <w:lang w:eastAsia="zh-CN"/>
              </w:rPr>
              <w:t>乾县公司组织夏季送清凉活动</w:t>
            </w:r>
          </w:p>
        </w:tc>
        <w:tc>
          <w:tcPr>
            <w:tcW w:w="4264" w:type="dxa"/>
            <w:shd w:val="clear" w:color="auto" w:fill="auto"/>
          </w:tcPr>
          <w:p>
            <w:pPr>
              <w:pStyle w:val="38"/>
              <w:rPr>
                <w:rFonts w:hint="eastAsia"/>
              </w:rPr>
            </w:pPr>
            <w:r>
              <w:drawing>
                <wp:inline distT="0" distB="0" distL="114300" distR="114300">
                  <wp:extent cx="2628265" cy="1974215"/>
                  <wp:effectExtent l="0" t="0" r="635" b="6985"/>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37"/>
                          <a:stretch>
                            <a:fillRect/>
                          </a:stretch>
                        </pic:blipFill>
                        <pic:spPr>
                          <a:xfrm>
                            <a:off x="0" y="0"/>
                            <a:ext cx="2628265" cy="1974215"/>
                          </a:xfrm>
                          <a:prstGeom prst="rect">
                            <a:avLst/>
                          </a:prstGeom>
                          <a:noFill/>
                          <a:ln>
                            <a:noFill/>
                          </a:ln>
                        </pic:spPr>
                      </pic:pic>
                    </a:graphicData>
                  </a:graphic>
                </wp:inline>
              </w:drawing>
            </w:r>
          </w:p>
          <w:p>
            <w:pPr>
              <w:pStyle w:val="38"/>
            </w:pPr>
            <w:r>
              <w:rPr>
                <w:rFonts w:hint="eastAsia"/>
              </w:rPr>
              <w:t>图</w:t>
            </w:r>
            <w:r>
              <w:rPr>
                <w:rFonts w:hint="eastAsia"/>
                <w:lang w:val="en-US" w:eastAsia="zh-CN"/>
              </w:rPr>
              <w:t>27</w:t>
            </w:r>
            <w:r>
              <w:t xml:space="preserve"> </w:t>
            </w:r>
            <w:r>
              <w:rPr>
                <w:rFonts w:hint="eastAsia"/>
                <w:lang w:eastAsia="zh-CN"/>
              </w:rPr>
              <w:t>乾县公司组织夏季送清凉活动</w:t>
            </w:r>
          </w:p>
          <w:p>
            <w:pPr>
              <w:pStyle w:val="38"/>
              <w:rPr>
                <w:rFonts w:hint="eastAsia" w:eastAsia="仿宋"/>
                <w:lang w:eastAsia="zh-CN"/>
              </w:rPr>
            </w:pPr>
          </w:p>
        </w:tc>
      </w:tr>
    </w:tbl>
    <w:p>
      <w:pPr>
        <w:pStyle w:val="42"/>
        <w:rPr>
          <w:rFonts w:ascii="黑体" w:hAnsi="黑体"/>
        </w:rPr>
      </w:pP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仿宋" w:hAnsi="仿宋" w:eastAsia="仿宋" w:cs="Times New Roman"/>
          <w:bCs w:val="0"/>
          <w:kern w:val="2"/>
          <w:sz w:val="28"/>
          <w:szCs w:val="28"/>
          <w:lang w:val="en-US" w:eastAsia="zh-CN" w:bidi="ar-SA"/>
        </w:rPr>
      </w:pPr>
      <w:bookmarkStart w:id="46" w:name="_Toc32933562"/>
      <w:r>
        <w:rPr>
          <w:rFonts w:hint="eastAsia" w:ascii="仿宋" w:hAnsi="仿宋" w:eastAsia="仿宋" w:cs="Times New Roman"/>
          <w:bCs w:val="0"/>
          <w:kern w:val="2"/>
          <w:sz w:val="28"/>
          <w:szCs w:val="28"/>
          <w:lang w:val="en-US" w:eastAsia="zh-CN" w:bidi="ar-SA"/>
        </w:rPr>
        <w:t>乾县公司为践行“以人为本”的精神理念，彰显“关爱职工”的责任担当，公司开展慰问活动，为奋战在一线的各参建单位施工人员送去饮品，看望慰问在高温下作业的一线建设者，了解他们的生产生活情况和落实防暑降温措施情况，向他们转达公司的关心和慰问，切实维护广大职工劳动安全健康权。同时公司定期为员工发放劳保用品、劳保服等，组织观影活动，开展文体活动，为员工发放过节礼品，定期看望外出培训学员、定期发放生活用品，使学员外出培训的同时仍能感受到公司的温暖，进一步丰富了职工的业余生活，提高了职工的向心力和归属感。</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仿宋" w:hAnsi="仿宋" w:eastAsia="仿宋" w:cs="Times New Roman"/>
          <w:bCs w:val="0"/>
          <w:kern w:val="2"/>
          <w:sz w:val="28"/>
          <w:szCs w:val="28"/>
          <w:lang w:val="en-US" w:eastAsia="zh-CN" w:bidi="ar-SA"/>
        </w:rPr>
      </w:pPr>
      <w:r>
        <w:rPr>
          <w:rFonts w:hint="eastAsia" w:ascii="仿宋" w:hAnsi="仿宋" w:eastAsia="仿宋" w:cs="Times New Roman"/>
          <w:bCs w:val="0"/>
          <w:kern w:val="2"/>
          <w:sz w:val="28"/>
          <w:szCs w:val="28"/>
          <w:lang w:val="en-US" w:eastAsia="zh-CN" w:bidi="ar-SA"/>
        </w:rPr>
        <w:t>利辛公司组织成立膳食委员会，每月进行一次食堂满意度调查，定期召开膳食委员会，从食堂采购、食品卫生、饭菜口味、种类、营养搭配及厉行节约等多方面研究、讨论食堂存在的问题，提出合理可行的方案，不断提升食堂各项工作水平及服务质量。同时为落实防暑降温保障措施，开展夏日送清凉活动，给一线职工送水和饮料，发放防暑降温药品，并让公司食堂熬制绿豆汤，为一线职工送去一丝“清凉”。</w:t>
      </w:r>
    </w:p>
    <w:p>
      <w:pPr>
        <w:pStyle w:val="5"/>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ascii="仿宋" w:hAnsi="仿宋" w:eastAsia="仿宋" w:cs="Times New Roman"/>
          <w:bCs w:val="0"/>
          <w:kern w:val="2"/>
          <w:sz w:val="28"/>
          <w:szCs w:val="28"/>
          <w:lang w:val="en-US" w:eastAsia="zh-CN" w:bidi="ar-SA"/>
        </w:rPr>
      </w:pPr>
      <w:r>
        <w:rPr>
          <w:rFonts w:hint="eastAsia" w:ascii="仿宋" w:hAnsi="仿宋" w:eastAsia="仿宋" w:cs="Times New Roman"/>
          <w:bCs w:val="0"/>
          <w:kern w:val="2"/>
          <w:sz w:val="28"/>
          <w:szCs w:val="28"/>
          <w:lang w:val="en-US" w:eastAsia="zh-CN" w:bidi="ar-SA"/>
        </w:rPr>
        <w:t>2021年的新冠疫情依旧严峻，利辛公司为贯彻落实上级公司关于疫情期间机组安全稳定运行的通知要求，“新型冠状病毒肺炎”疫情防控工作小组持续贯彻落实属地政府、皖能集团和环保发电公司关于疫情防控工作的总体部署，加强疫情防控组织领导，对入场人员进行测温登记，工作现场进行定期消杀，同时关注新闻，对高风险来往人员除必要的“安康码”、“行程码”两码联查，要求外来人员进行核酸检测，严控外部输入，内部防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Times New Roman"/>
          <w:bCs w:val="0"/>
          <w:kern w:val="2"/>
          <w:sz w:val="28"/>
          <w:szCs w:val="28"/>
          <w:lang w:val="en-US" w:eastAsia="zh-CN" w:bidi="ar-SA"/>
        </w:rPr>
      </w:pPr>
      <w:r>
        <w:rPr>
          <w:rFonts w:hint="eastAsia" w:ascii="仿宋" w:hAnsi="仿宋" w:eastAsia="仿宋" w:cs="Times New Roman"/>
          <w:bCs w:val="0"/>
          <w:kern w:val="2"/>
          <w:sz w:val="28"/>
          <w:szCs w:val="28"/>
          <w:lang w:val="en-US" w:eastAsia="zh-CN" w:bidi="ar-SA"/>
        </w:rPr>
        <w:t>2021年12月陕西疫情爆发以来，乾县公司落实属地管理原则，配合当地镇政府设置联合疫情检查点，坚持测温、扫码、登记等措施，严控人员出入。同时保障疫情期间物资供应，隔离期间，急员工之所急，紧急组织采购物资4次，缓解员工生活物资短缺难题，在其他社区封闭管理期间，协调安排送药送菜送饭上门，解决员工后顾之忧；增强服务意识，配合政府部门防疫的同时，给防疫人员送去方便面、矿泉水、盒饭等物资，表达对他们坚守一线、勇于奋战精神的敬意，让他们在疫情防控工作中感受到关怀与温暖，体现了公司勇于担当的精神。</w:t>
      </w:r>
    </w:p>
    <w:tbl>
      <w:tblPr>
        <w:tblStyle w:val="22"/>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shd w:val="clear" w:color="auto" w:fill="auto"/>
          </w:tcPr>
          <w:p>
            <w:pPr>
              <w:pStyle w:val="42"/>
            </w:pPr>
            <w:r>
              <w:rPr>
                <w:rFonts w:ascii="仿宋_GB2312" w:hAnsi="仿宋" w:cs="仿宋_GB2312"/>
                <w:szCs w:val="32"/>
              </w:rPr>
              <w:drawing>
                <wp:inline distT="0" distB="0" distL="114300" distR="114300">
                  <wp:extent cx="2628265" cy="1979930"/>
                  <wp:effectExtent l="0" t="0" r="635" b="1270"/>
                  <wp:docPr id="64" name="图片 64" descr="C:\Users\003\Documents\Tencent Files\429173156\FileRecv\MobileFile\D3B3119C6F43FBFD4E441B5BE0BE567A.png"/>
                  <wp:cNvGraphicFramePr/>
                  <a:graphic xmlns:a="http://schemas.openxmlformats.org/drawingml/2006/main">
                    <a:graphicData uri="http://schemas.openxmlformats.org/drawingml/2006/picture">
                      <pic:pic xmlns:pic="http://schemas.openxmlformats.org/drawingml/2006/picture">
                        <pic:nvPicPr>
                          <pic:cNvPr id="64" name="图片 64" descr="C:\Users\003\Documents\Tencent Files\429173156\FileRecv\MobileFile\D3B3119C6F43FBFD4E441B5BE0BE567A.png"/>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28265" cy="1979930"/>
                          </a:xfrm>
                          <a:prstGeom prst="rect">
                            <a:avLst/>
                          </a:prstGeom>
                          <a:noFill/>
                          <a:ln>
                            <a:noFill/>
                          </a:ln>
                        </pic:spPr>
                      </pic:pic>
                    </a:graphicData>
                  </a:graphic>
                </wp:inline>
              </w:drawing>
            </w:r>
          </w:p>
        </w:tc>
        <w:tc>
          <w:tcPr>
            <w:tcW w:w="4264" w:type="dxa"/>
            <w:shd w:val="clear" w:color="auto" w:fill="auto"/>
          </w:tcPr>
          <w:p>
            <w:pPr>
              <w:pStyle w:val="42"/>
            </w:pPr>
            <w:r>
              <w:rPr>
                <w:rFonts w:ascii="黑体" w:hAnsi="黑体" w:eastAsia="黑体"/>
                <w:color w:val="000000" w:themeColor="text1"/>
                <w:shd w:val="clear" w:color="auto" w:fill="FFFFFF"/>
                <w14:textFill>
                  <w14:solidFill>
                    <w14:schemeClr w14:val="tx1"/>
                  </w14:solidFill>
                </w14:textFill>
              </w:rPr>
              <w:drawing>
                <wp:inline distT="0" distB="0" distL="114300" distR="114300">
                  <wp:extent cx="2628265" cy="1979930"/>
                  <wp:effectExtent l="0" t="0" r="635" b="1270"/>
                  <wp:docPr id="65" name="图片 65" descr="C:\Users\003\AppData\Local\Microsoft\Windows\INetCache\IE\CQQI77EI\乾县皖能环保公司落实“三步走”  坚持“三到位”  切实筑牢疫情安全防线.jpg"/>
                  <wp:cNvGraphicFramePr/>
                  <a:graphic xmlns:a="http://schemas.openxmlformats.org/drawingml/2006/main">
                    <a:graphicData uri="http://schemas.openxmlformats.org/drawingml/2006/picture">
                      <pic:pic xmlns:pic="http://schemas.openxmlformats.org/drawingml/2006/picture">
                        <pic:nvPicPr>
                          <pic:cNvPr id="65" name="图片 65" descr="C:\Users\003\AppData\Local\Microsoft\Windows\INetCache\IE\CQQI77EI\乾县皖能环保公司落实“三步走”  坚持“三到位”  切实筑牢疫情安全防线.jpg"/>
                          <pic:cNvPicPr>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628265" cy="197993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4" w:type="dxa"/>
            <w:shd w:val="clear" w:color="auto" w:fill="auto"/>
          </w:tcPr>
          <w:p>
            <w:pPr>
              <w:pStyle w:val="38"/>
              <w:rPr>
                <w:rFonts w:hint="eastAsia" w:eastAsia="仿宋"/>
                <w:lang w:eastAsia="zh-CN"/>
              </w:rPr>
            </w:pPr>
            <w:r>
              <w:rPr>
                <w:rFonts w:hint="eastAsia"/>
              </w:rPr>
              <w:t>图</w:t>
            </w:r>
            <w:r>
              <w:rPr>
                <w:rFonts w:hint="eastAsia"/>
                <w:lang w:val="en-US" w:eastAsia="zh-CN"/>
              </w:rPr>
              <w:t>28</w:t>
            </w:r>
            <w:r>
              <w:t xml:space="preserve"> </w:t>
            </w:r>
            <w:r>
              <w:rPr>
                <w:rFonts w:hint="eastAsia" w:ascii="仿宋_GB2312" w:hAnsi="黑体"/>
                <w:b/>
                <w:color w:val="000000" w:themeColor="text1"/>
                <w:sz w:val="21"/>
                <w:szCs w:val="21"/>
                <w:shd w:val="clear" w:color="auto" w:fill="FFFFFF"/>
                <w14:textFill>
                  <w14:solidFill>
                    <w14:schemeClr w14:val="tx1"/>
                  </w14:solidFill>
                </w14:textFill>
              </w:rPr>
              <w:t>乾县公司配合政府开展核酸检测</w:t>
            </w:r>
          </w:p>
        </w:tc>
        <w:tc>
          <w:tcPr>
            <w:tcW w:w="4264" w:type="dxa"/>
            <w:shd w:val="clear" w:color="auto" w:fill="auto"/>
          </w:tcPr>
          <w:p>
            <w:pPr>
              <w:pStyle w:val="38"/>
            </w:pPr>
            <w:r>
              <w:rPr>
                <w:rFonts w:hint="eastAsia"/>
              </w:rPr>
              <w:t>图</w:t>
            </w:r>
            <w:r>
              <w:rPr>
                <w:rFonts w:hint="eastAsia"/>
                <w:lang w:val="en-US" w:eastAsia="zh-CN"/>
              </w:rPr>
              <w:t>29</w:t>
            </w:r>
            <w:r>
              <w:t xml:space="preserve"> </w:t>
            </w:r>
            <w:r>
              <w:rPr>
                <w:rFonts w:hint="eastAsia" w:ascii="仿宋_GB2312" w:hAnsi="黑体"/>
                <w:b/>
                <w:color w:val="000000" w:themeColor="text1"/>
                <w:sz w:val="21"/>
                <w:szCs w:val="21"/>
                <w:shd w:val="clear" w:color="auto" w:fill="FFFFFF"/>
                <w14:textFill>
                  <w14:solidFill>
                    <w14:schemeClr w14:val="tx1"/>
                  </w14:solidFill>
                </w14:textFill>
              </w:rPr>
              <w:t>乾县公司配合政府设置疫情防控点</w:t>
            </w:r>
          </w:p>
        </w:tc>
      </w:tr>
    </w:tbl>
    <w:p>
      <w:pPr>
        <w:rPr>
          <w:rFonts w:hint="eastAsia"/>
          <w:lang w:val="en-US" w:eastAsia="zh-CN"/>
        </w:rPr>
      </w:pPr>
    </w:p>
    <w:p>
      <w:pPr>
        <w:rPr>
          <w:rFonts w:hint="default"/>
          <w:lang w:val="en-US" w:eastAsia="zh-CN"/>
        </w:rPr>
      </w:pPr>
    </w:p>
    <w:p/>
    <w:p>
      <w:pPr>
        <w:pStyle w:val="15"/>
      </w:pPr>
    </w:p>
    <w:p/>
    <w:p>
      <w:pPr>
        <w:pStyle w:val="15"/>
      </w:pPr>
    </w:p>
    <w:p>
      <w:pPr>
        <w:sectPr>
          <w:pgSz w:w="11906" w:h="16838"/>
          <w:pgMar w:top="1440" w:right="1797" w:bottom="1440" w:left="1797" w:header="851" w:footer="992" w:gutter="0"/>
          <w:cols w:space="425" w:num="1"/>
          <w:docGrid w:linePitch="312" w:charSpace="0"/>
        </w:sectPr>
      </w:pPr>
    </w:p>
    <w:p>
      <w:pPr>
        <w:pStyle w:val="5"/>
        <w:spacing w:before="240" w:after="240"/>
      </w:pPr>
      <w:bookmarkStart w:id="47" w:name="_Toc33176296"/>
      <w:bookmarkStart w:id="48" w:name="_Toc32950340"/>
      <w:r>
        <w:rPr>
          <w:rFonts w:hint="eastAsia"/>
        </w:rPr>
        <w:t>绿色</w:t>
      </w:r>
      <w:r>
        <w:t>发展</w:t>
      </w:r>
      <w:bookmarkEnd w:id="46"/>
      <w:bookmarkEnd w:id="47"/>
      <w:bookmarkEnd w:id="48"/>
    </w:p>
    <w:p>
      <w:pPr>
        <w:pStyle w:val="37"/>
        <w:rPr>
          <w:b/>
        </w:rPr>
      </w:pPr>
      <w:r>
        <w:rPr>
          <w:rFonts w:hint="eastAsia"/>
        </w:rPr>
        <w:t>绿色是生命的象征、大自然的底色。</w:t>
      </w:r>
      <w:r>
        <w:rPr>
          <w:rFonts w:cs="Arial"/>
        </w:rPr>
        <w:t>从内涵看，绿色发展是在传统发展基础上的一种模式创新，是建立在生态环境容量和资源承载力的约束条件下，将环境保护作为实现可持续发展重要支柱的一种新型发展模式</w:t>
      </w:r>
      <w:r>
        <w:rPr>
          <w:rFonts w:hint="eastAsia"/>
        </w:rPr>
        <w:t>准确把握生态文明建设规律的科学发展理念。科学发展理念建立在深入认识把握发展规律的基础上。党的十九大以来，习近平同志立足推进我国社会主义现代化建设的时代使命，洞悉从工业文明到生态文明跃迁的发展大势和客观规律，就促进人与自然和谐发展提出一系列新思想、新观点、新论断，凝聚形成绿色发展理念，推动了马克思主义生态文明理论在当代中国的创新发展。环保发电公司牢固树立保护生态环境就是保护生产力、改善生态环境就是发展生产力的理念，更加自觉地推动绿色发展、低碳发展、循环发展，绝不以牺牲生态环境为代价换取一时的经济增长。正确处理公司发展同生态环境保护的关系，形成“既要金山银山，又要绿水青山”的绿色价值取向。</w:t>
      </w:r>
    </w:p>
    <w:p>
      <w:pPr>
        <w:pStyle w:val="6"/>
        <w:spacing w:before="240" w:after="240"/>
      </w:pPr>
      <w:bookmarkStart w:id="49" w:name="_Toc33176297"/>
      <w:bookmarkStart w:id="50" w:name="_Toc32950341"/>
      <w:bookmarkStart w:id="51" w:name="_Toc32933563"/>
      <w:r>
        <w:rPr>
          <w:rFonts w:hint="eastAsia"/>
        </w:rPr>
        <w:t>环境保护公益活动</w:t>
      </w:r>
      <w:bookmarkEnd w:id="49"/>
      <w:bookmarkEnd w:id="50"/>
      <w:bookmarkEnd w:id="5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Times New Roman"/>
          <w:kern w:val="2"/>
          <w:sz w:val="28"/>
          <w:szCs w:val="28"/>
          <w:lang w:val="en-US" w:eastAsia="zh-CN" w:bidi="ar-SA"/>
        </w:rPr>
      </w:pPr>
      <w:r>
        <w:rPr>
          <w:rFonts w:hint="eastAsia" w:ascii="仿宋" w:hAnsi="仿宋" w:eastAsia="仿宋" w:cs="Times New Roman"/>
          <w:kern w:val="2"/>
          <w:sz w:val="28"/>
          <w:szCs w:val="28"/>
          <w:lang w:val="en-US" w:eastAsia="zh-CN" w:bidi="ar-SA"/>
        </w:rPr>
        <w:t>颍上公司2021年5月27日举办“环保设施公众开放日”活动。引导周边居民，实地参观了脱硫、脱销、除尘、活性炭吸附等环保设施。在环保展厅对照沙盘模型对“炉内脱销＋干法脱硫＋半干法脱硫＋布袋除尘＋活性炭吸附”烟气处理工艺进行了详细讲解，并回答居民提出的环保问题。周边居民通过实地参观，对生活垃圾及生物质焚烧发电工艺有了初步了解及感性认识。通过举办“环保设施向公众开放”活动，向公众开放我公司环保设施设备，搭建居民与我公司沟通的有效桥梁，形成答疑解惑、良性互动的平台。增强居民对我公司环保工作的知情权、表达权、监督权，消除了居民对垃圾发电脏、乱、臭等环境污染的顾虑。</w:t>
      </w:r>
    </w:p>
    <w:p>
      <w:pPr>
        <w:pStyle w:val="37"/>
        <w:ind w:left="0" w:leftChars="0" w:firstLine="560" w:firstLineChars="200"/>
      </w:pPr>
      <w:r>
        <w:rPr>
          <w:rFonts w:hint="eastAsia"/>
          <w:lang w:eastAsia="zh-CN"/>
        </w:rPr>
        <w:t>蚌埠公司</w:t>
      </w:r>
      <w:r>
        <w:rPr>
          <w:rFonts w:hint="eastAsia"/>
        </w:rPr>
        <w:t>为切实把党史学习教育成效转化为为群众办实事、解难题的内生动力，近日，蚌埠环保公司党支部组织开展“清除杂草 美化环境”主题党日活动，公司全体党员、入党积极分子、团干积极参加。蚌埠公司党支部书记带头对综合楼、厂前区、集控楼及冷却塔周围等区域进行了一次全面的“大扫除”，每一处都进行得紧张有序，有条不紊。大家干劲十足，热情高涨，以劳动为荣，不怕脏，不怕累，经过努力，杂草基本清除，厂区增添一份生机。“党员先行”绝不是一句口号，蚌埠公司党员们冲锋在前，发挥党员先锋模范作用，以实际行动践行初心使命，进一步增强了党员全心全意为人民服务的宗旨意识，体现了不怕苦、不怕累，甘于奉献的精神。</w:t>
      </w:r>
    </w:p>
    <w:tbl>
      <w:tblPr>
        <w:tblStyle w:val="22"/>
        <w:tblW w:w="5000" w:type="pct"/>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2500" w:type="pct"/>
            <w:shd w:val="clear" w:color="auto" w:fill="auto"/>
          </w:tcPr>
          <w:p>
            <w:pPr>
              <w:pStyle w:val="42"/>
            </w:pPr>
            <w:r>
              <w:drawing>
                <wp:inline distT="0" distB="0" distL="0" distR="0">
                  <wp:extent cx="2628265" cy="1979930"/>
                  <wp:effectExtent l="0" t="0" r="635" b="1270"/>
                  <wp:docPr id="40" name="图片 27" descr="C:\Users\AUS U\Desktop\新建文件夹\清除杂草.jpg清除杂草"/>
                  <wp:cNvGraphicFramePr/>
                  <a:graphic xmlns:a="http://schemas.openxmlformats.org/drawingml/2006/main">
                    <a:graphicData uri="http://schemas.openxmlformats.org/drawingml/2006/picture">
                      <pic:pic xmlns:pic="http://schemas.openxmlformats.org/drawingml/2006/picture">
                        <pic:nvPicPr>
                          <pic:cNvPr id="40" name="图片 27" descr="C:\Users\AUS U\Desktop\新建文件夹\清除杂草.jpg清除杂草"/>
                          <pic:cNvPicPr>
                            <a:picLocks noChangeArrowheads="1"/>
                          </pic:cNvPicPr>
                        </pic:nvPicPr>
                        <pic:blipFill>
                          <a:blip r:embed="rId40"/>
                          <a:srcRect/>
                          <a:stretch>
                            <a:fillRect/>
                          </a:stretch>
                        </pic:blipFill>
                        <pic:spPr>
                          <a:xfrm>
                            <a:off x="0" y="0"/>
                            <a:ext cx="2628265" cy="1979930"/>
                          </a:xfrm>
                          <a:prstGeom prst="rect">
                            <a:avLst/>
                          </a:prstGeom>
                          <a:noFill/>
                          <a:ln>
                            <a:noFill/>
                          </a:ln>
                        </pic:spPr>
                      </pic:pic>
                    </a:graphicData>
                  </a:graphic>
                </wp:inline>
              </w:drawing>
            </w:r>
          </w:p>
        </w:tc>
        <w:tc>
          <w:tcPr>
            <w:tcW w:w="2500" w:type="pct"/>
            <w:shd w:val="clear" w:color="auto" w:fill="auto"/>
          </w:tcPr>
          <w:p>
            <w:pPr>
              <w:pStyle w:val="42"/>
            </w:pPr>
            <w:r>
              <w:drawing>
                <wp:inline distT="0" distB="0" distL="0" distR="0">
                  <wp:extent cx="2628265" cy="1979930"/>
                  <wp:effectExtent l="0" t="0" r="635" b="1270"/>
                  <wp:docPr id="41" name="图片 28" descr="C:\Users\AUS U\Desktop\新建文件夹\员工自行组织开展道路清洗.JPG员工自行组织开展道路清洗"/>
                  <wp:cNvGraphicFramePr/>
                  <a:graphic xmlns:a="http://schemas.openxmlformats.org/drawingml/2006/main">
                    <a:graphicData uri="http://schemas.openxmlformats.org/drawingml/2006/picture">
                      <pic:pic xmlns:pic="http://schemas.openxmlformats.org/drawingml/2006/picture">
                        <pic:nvPicPr>
                          <pic:cNvPr id="41" name="图片 28" descr="C:\Users\AUS U\Desktop\新建文件夹\员工自行组织开展道路清洗.JPG员工自行组织开展道路清洗"/>
                          <pic:cNvPicPr>
                            <a:picLocks noChangeArrowheads="1"/>
                          </pic:cNvPicPr>
                        </pic:nvPicPr>
                        <pic:blipFill>
                          <a:blip r:embed="rId41"/>
                          <a:srcRect/>
                          <a:stretch>
                            <a:fillRect/>
                          </a:stretch>
                        </pic:blipFill>
                        <pic:spPr>
                          <a:xfrm>
                            <a:off x="0" y="0"/>
                            <a:ext cx="2628265" cy="197993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2500" w:type="pct"/>
            <w:shd w:val="clear" w:color="auto" w:fill="auto"/>
          </w:tcPr>
          <w:p>
            <w:pPr>
              <w:pStyle w:val="38"/>
            </w:pPr>
            <w:r>
              <w:rPr>
                <w:rFonts w:hint="eastAsia"/>
              </w:rPr>
              <w:t>图</w:t>
            </w:r>
            <w:r>
              <w:rPr>
                <w:rFonts w:hint="eastAsia"/>
                <w:lang w:val="en-US" w:eastAsia="zh-CN"/>
              </w:rPr>
              <w:t>30</w:t>
            </w:r>
            <w:r>
              <w:t xml:space="preserve"> </w:t>
            </w:r>
            <w:r>
              <w:rPr>
                <w:rFonts w:hint="eastAsia"/>
                <w:lang w:val="en-US" w:eastAsia="zh-CN"/>
              </w:rPr>
              <w:t>蚌埠公司“美化厂区，清除杂草”</w:t>
            </w:r>
          </w:p>
        </w:tc>
        <w:tc>
          <w:tcPr>
            <w:tcW w:w="2500" w:type="pct"/>
            <w:shd w:val="clear" w:color="auto" w:fill="auto"/>
          </w:tcPr>
          <w:p>
            <w:pPr>
              <w:pStyle w:val="38"/>
            </w:pPr>
            <w:r>
              <w:rPr>
                <w:rFonts w:hint="eastAsia"/>
              </w:rPr>
              <w:t>图</w:t>
            </w:r>
            <w:r>
              <w:rPr>
                <w:rFonts w:hint="eastAsia"/>
                <w:lang w:val="en-US" w:eastAsia="zh-CN"/>
              </w:rPr>
              <w:t>31</w:t>
            </w:r>
            <w:r>
              <w:t xml:space="preserve"> </w:t>
            </w:r>
            <w:r>
              <w:rPr>
                <w:rFonts w:hint="eastAsia"/>
                <w:lang w:val="en-US" w:eastAsia="zh-CN"/>
              </w:rPr>
              <w:t>蚌埠公司党员突击队清洗物流通道</w:t>
            </w:r>
          </w:p>
        </w:tc>
      </w:tr>
    </w:tbl>
    <w:p>
      <w:pPr>
        <w:pStyle w:val="42"/>
      </w:pPr>
    </w:p>
    <w:tbl>
      <w:tblPr>
        <w:tblStyle w:val="22"/>
        <w:tblW w:w="5000" w:type="pct"/>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2500" w:type="pct"/>
            <w:shd w:val="clear" w:color="auto" w:fill="auto"/>
          </w:tcPr>
          <w:p>
            <w:pPr>
              <w:pStyle w:val="42"/>
            </w:pPr>
            <w:r>
              <w:rPr>
                <w:rFonts w:hint="eastAsia" w:ascii="宋体" w:hAnsi="宋体" w:eastAsia="宋体" w:cs="宋体"/>
                <w:color w:val="000000"/>
                <w:spacing w:val="0"/>
                <w:w w:val="100"/>
                <w:position w:val="0"/>
                <w:sz w:val="28"/>
                <w:szCs w:val="28"/>
                <w:lang w:val="en-US" w:eastAsia="zh-CN"/>
              </w:rPr>
              <w:drawing>
                <wp:anchor distT="0" distB="0" distL="114300" distR="114300" simplePos="0" relativeHeight="251671552" behindDoc="0" locked="0" layoutInCell="1" allowOverlap="1">
                  <wp:simplePos x="0" y="0"/>
                  <wp:positionH relativeFrom="column">
                    <wp:posOffset>-3810</wp:posOffset>
                  </wp:positionH>
                  <wp:positionV relativeFrom="page">
                    <wp:posOffset>-3275965</wp:posOffset>
                  </wp:positionV>
                  <wp:extent cx="2628265" cy="1979930"/>
                  <wp:effectExtent l="0" t="0" r="635" b="1270"/>
                  <wp:wrapTopAndBottom/>
                  <wp:docPr id="37" name="图片 2" descr="微信图片_20220216144833"/>
                  <wp:cNvGraphicFramePr/>
                  <a:graphic xmlns:a="http://schemas.openxmlformats.org/drawingml/2006/main">
                    <a:graphicData uri="http://schemas.openxmlformats.org/drawingml/2006/picture">
                      <pic:pic xmlns:pic="http://schemas.openxmlformats.org/drawingml/2006/picture">
                        <pic:nvPicPr>
                          <pic:cNvPr id="37" name="图片 2" descr="微信图片_20220216144833"/>
                          <pic:cNvPicPr/>
                        </pic:nvPicPr>
                        <pic:blipFill>
                          <a:blip r:embed="rId42"/>
                          <a:stretch>
                            <a:fillRect/>
                          </a:stretch>
                        </pic:blipFill>
                        <pic:spPr>
                          <a:xfrm>
                            <a:off x="0" y="0"/>
                            <a:ext cx="2628265" cy="1979930"/>
                          </a:xfrm>
                          <a:prstGeom prst="rect">
                            <a:avLst/>
                          </a:prstGeom>
                          <a:noFill/>
                          <a:ln>
                            <a:noFill/>
                          </a:ln>
                        </pic:spPr>
                      </pic:pic>
                    </a:graphicData>
                  </a:graphic>
                </wp:anchor>
              </w:drawing>
            </w:r>
          </w:p>
        </w:tc>
        <w:tc>
          <w:tcPr>
            <w:tcW w:w="2500" w:type="pct"/>
            <w:shd w:val="clear" w:color="auto" w:fill="auto"/>
          </w:tcPr>
          <w:p>
            <w:pPr>
              <w:pStyle w:val="42"/>
            </w:pPr>
            <w:r>
              <w:drawing>
                <wp:anchor distT="0" distB="0" distL="114300" distR="114300" simplePos="0" relativeHeight="251672576" behindDoc="0" locked="0" layoutInCell="1" allowOverlap="1">
                  <wp:simplePos x="0" y="0"/>
                  <wp:positionH relativeFrom="column">
                    <wp:posOffset>-27940</wp:posOffset>
                  </wp:positionH>
                  <wp:positionV relativeFrom="paragraph">
                    <wp:posOffset>10795</wp:posOffset>
                  </wp:positionV>
                  <wp:extent cx="2628265" cy="2000250"/>
                  <wp:effectExtent l="0" t="0" r="635" b="0"/>
                  <wp:wrapTopAndBottom/>
                  <wp:docPr id="38" name="图片 2"/>
                  <wp:cNvGraphicFramePr/>
                  <a:graphic xmlns:a="http://schemas.openxmlformats.org/drawingml/2006/main">
                    <a:graphicData uri="http://schemas.openxmlformats.org/drawingml/2006/picture">
                      <pic:pic xmlns:pic="http://schemas.openxmlformats.org/drawingml/2006/picture">
                        <pic:nvPicPr>
                          <pic:cNvPr id="38" name="图片 2"/>
                          <pic:cNvPicPr/>
                        </pic:nvPicPr>
                        <pic:blipFill>
                          <a:blip r:embed="rId43"/>
                          <a:stretch>
                            <a:fillRect/>
                          </a:stretch>
                        </pic:blipFill>
                        <pic:spPr>
                          <a:xfrm>
                            <a:off x="0" y="0"/>
                            <a:ext cx="2628265" cy="2000250"/>
                          </a:xfrm>
                          <a:prstGeom prst="rect">
                            <a:avLst/>
                          </a:prstGeom>
                          <a:noFill/>
                          <a:ln>
                            <a:noFill/>
                          </a:ln>
                        </pic:spPr>
                      </pic:pic>
                    </a:graphicData>
                  </a:graphic>
                </wp:anchor>
              </w:drawing>
            </w:r>
          </w:p>
        </w:tc>
      </w:tr>
      <w:tr>
        <w:tblPrEx>
          <w:tblCellMar>
            <w:top w:w="0" w:type="dxa"/>
            <w:left w:w="108" w:type="dxa"/>
            <w:bottom w:w="0" w:type="dxa"/>
            <w:right w:w="108" w:type="dxa"/>
          </w:tblCellMar>
        </w:tblPrEx>
        <w:tc>
          <w:tcPr>
            <w:tcW w:w="2500" w:type="pct"/>
            <w:shd w:val="clear" w:color="auto" w:fill="auto"/>
          </w:tcPr>
          <w:p>
            <w:pPr>
              <w:pStyle w:val="38"/>
            </w:pPr>
            <w:r>
              <w:rPr>
                <w:rFonts w:hint="eastAsia"/>
              </w:rPr>
              <w:t>图</w:t>
            </w:r>
            <w:r>
              <w:rPr>
                <w:rFonts w:hint="eastAsia"/>
                <w:lang w:val="en-US" w:eastAsia="zh-CN"/>
              </w:rPr>
              <w:t>32</w:t>
            </w:r>
            <w:r>
              <w:t xml:space="preserve"> </w:t>
            </w:r>
            <w:r>
              <w:rPr>
                <w:rFonts w:hint="eastAsia"/>
                <w:lang w:val="en-US" w:eastAsia="zh-CN"/>
              </w:rPr>
              <w:t>阜阳公司“六五环境日”宣传活动</w:t>
            </w:r>
          </w:p>
        </w:tc>
        <w:tc>
          <w:tcPr>
            <w:tcW w:w="2500" w:type="pct"/>
            <w:shd w:val="clear" w:color="auto" w:fill="auto"/>
          </w:tcPr>
          <w:p>
            <w:pPr>
              <w:pStyle w:val="38"/>
            </w:pPr>
            <w:r>
              <w:rPr>
                <w:rFonts w:hint="eastAsia"/>
              </w:rPr>
              <w:t>图</w:t>
            </w:r>
            <w:r>
              <w:rPr>
                <w:rFonts w:hint="eastAsia"/>
                <w:lang w:val="en-US" w:eastAsia="zh-CN"/>
              </w:rPr>
              <w:t>33</w:t>
            </w:r>
            <w:r>
              <w:t xml:space="preserve"> </w:t>
            </w:r>
            <w:r>
              <w:rPr>
                <w:rFonts w:hint="eastAsia"/>
                <w:lang w:val="en-US" w:eastAsia="zh-CN"/>
              </w:rPr>
              <w:t>阜阳公司社会开放日</w:t>
            </w:r>
          </w:p>
        </w:tc>
      </w:tr>
    </w:tbl>
    <w:p>
      <w:pPr>
        <w:pStyle w:val="37"/>
        <w:rPr>
          <w:rFonts w:hint="eastAsia" w:cs="Times New Roman"/>
          <w:lang w:val="en-US" w:eastAsia="zh-CN"/>
        </w:rPr>
      </w:pPr>
    </w:p>
    <w:p>
      <w:pPr>
        <w:pStyle w:val="6"/>
        <w:spacing w:before="240" w:after="240"/>
        <w:rPr>
          <w:rFonts w:ascii="宋体" w:hAnsi="宋体"/>
        </w:rPr>
      </w:pPr>
      <w:bookmarkStart w:id="52" w:name="_Toc33176298"/>
      <w:bookmarkStart w:id="53" w:name="_Toc32933564"/>
      <w:bookmarkStart w:id="54" w:name="_Toc32950342"/>
      <w:r>
        <w:rPr>
          <w:rFonts w:hint="eastAsia" w:ascii="宋体" w:hAnsi="宋体"/>
        </w:rPr>
        <w:t>节能减排共建美好家园</w:t>
      </w:r>
      <w:bookmarkEnd w:id="52"/>
      <w:bookmarkEnd w:id="53"/>
      <w:bookmarkEnd w:id="54"/>
    </w:p>
    <w:p>
      <w:pPr>
        <w:pStyle w:val="37"/>
        <w:rPr>
          <w:rFonts w:hint="eastAsia"/>
        </w:rPr>
      </w:pPr>
      <w:r>
        <w:rPr>
          <w:rFonts w:hint="eastAsia"/>
        </w:rPr>
        <w:t>截至2021年底环保发电公司已投产机组累计装机容量352MW，累计日处理固废规模15250</w:t>
      </w:r>
      <w:r>
        <w:rPr>
          <w:rFonts w:hint="eastAsia"/>
          <w:lang w:val="en-US" w:eastAsia="zh-CN"/>
        </w:rPr>
        <w:t>t</w:t>
      </w:r>
      <w:r>
        <w:rPr>
          <w:rFonts w:hint="eastAsia"/>
        </w:rPr>
        <w:t>/</w:t>
      </w:r>
      <w:r>
        <w:rPr>
          <w:rFonts w:hint="eastAsia"/>
          <w:lang w:val="en-US" w:eastAsia="zh-CN"/>
        </w:rPr>
        <w:t>d</w:t>
      </w:r>
      <w:r>
        <w:rPr>
          <w:rFonts w:hint="eastAsia"/>
        </w:rPr>
        <w:t>。环保发电公司2021年固废处理量共计约541.6万吨（其中生活垃圾486.49万吨，生物质秸秆量55.11万吨），发电量20.70亿kWh，吨固废发电量456.69kWh，综合厂用电率13.20%</w:t>
      </w:r>
      <w:r>
        <w:rPr>
          <w:rFonts w:hint="eastAsia"/>
          <w:lang w:eastAsia="zh-CN"/>
        </w:rPr>
        <w:t>，</w:t>
      </w:r>
      <w:r>
        <w:rPr>
          <w:rFonts w:hint="eastAsia"/>
        </w:rPr>
        <w:t>相当于节约了</w:t>
      </w:r>
      <w:r>
        <w:rPr>
          <w:rFonts w:hint="eastAsia"/>
          <w:lang w:val="en-US" w:eastAsia="zh-CN"/>
        </w:rPr>
        <w:t>61.69</w:t>
      </w:r>
      <w:r>
        <w:rPr>
          <w:rFonts w:hint="eastAsia"/>
        </w:rPr>
        <w:t>万吨标煤，减少碳排放</w:t>
      </w:r>
      <w:r>
        <w:rPr>
          <w:rFonts w:hint="eastAsia"/>
          <w:lang w:val="en-US" w:eastAsia="zh-CN"/>
        </w:rPr>
        <w:t>149.49</w:t>
      </w:r>
      <w:r>
        <w:rPr>
          <w:rFonts w:hint="eastAsia"/>
        </w:rPr>
        <w:t>万吨，减少二氧化硫排放</w:t>
      </w:r>
      <w:r>
        <w:rPr>
          <w:rFonts w:hint="eastAsia"/>
          <w:lang w:val="en-US" w:eastAsia="zh-CN"/>
        </w:rPr>
        <w:t>4.58</w:t>
      </w:r>
      <w:r>
        <w:rPr>
          <w:rFonts w:hint="eastAsia"/>
        </w:rPr>
        <w:t>万吨，减少氮氧化物排放</w:t>
      </w:r>
      <w:r>
        <w:rPr>
          <w:rFonts w:hint="eastAsia"/>
          <w:lang w:val="en-US" w:eastAsia="zh-CN"/>
        </w:rPr>
        <w:t>2.29</w:t>
      </w:r>
      <w:r>
        <w:rPr>
          <w:rFonts w:hint="eastAsia"/>
        </w:rPr>
        <w:t>万吨，为社会和环境做出了巨大的贡献。</w:t>
      </w:r>
    </w:p>
    <w:p>
      <w:pPr>
        <w:pStyle w:val="37"/>
        <w:ind w:left="0" w:leftChars="0" w:firstLine="0" w:firstLineChars="0"/>
        <w:rPr>
          <w:rFonts w:hint="eastAsia"/>
          <w:lang w:val="en-US" w:eastAsia="zh-CN"/>
        </w:rPr>
      </w:pPr>
      <w:r>
        <w:rPr>
          <w:rFonts w:hint="eastAsia"/>
          <w:lang w:val="en-US" w:eastAsia="zh-CN"/>
        </w:rPr>
        <w:t xml:space="preserve">    颍上公司通过合法合规经营和加强沟通，得到当地政府和上级公司高度认可，被颍上县水利局、颍上县经信局、颍上县节水办联合授予“颍上县节水型企业”荣誉称号，被安徽省水利厅、安徽省经信厅、安徽省节水办联合授予“安徽省节水型企业”荣誉称号；项目荣获省住建厅工程设计类一等奖；公司被评为2021年阜阳市先进集体等一系列荣誉称号。</w:t>
      </w:r>
    </w:p>
    <w:p>
      <w:pPr>
        <w:pStyle w:val="37"/>
        <w:ind w:left="0" w:leftChars="0" w:firstLine="560" w:firstLineChars="200"/>
        <w:rPr>
          <w:rFonts w:hint="default" w:eastAsia="仿宋"/>
          <w:lang w:val="en-US" w:eastAsia="zh-CN"/>
        </w:rPr>
      </w:pPr>
      <w:r>
        <w:rPr>
          <w:rFonts w:hint="eastAsia"/>
          <w:lang w:val="en-US" w:eastAsia="zh-CN"/>
        </w:rPr>
        <w:t>利辛</w:t>
      </w:r>
      <w:r>
        <w:rPr>
          <w:rFonts w:hint="default" w:eastAsia="仿宋"/>
          <w:lang w:val="en-US" w:eastAsia="zh-CN"/>
        </w:rPr>
        <w:t>公司开展各类监测手段，自行监测手段为自动，手工监测开展方式为委托。其中二氧化硫、氮氧化物、烟尘、氯化氢、一氧化碳等是自动监测；噪声监测、烟气重金属（包含烟气汞及其化合物，镉、铊及其化合物，锑、砷、铅、铬、钴、铜、锰、镍及其化合物，以下均简称烟气重金属）、烟气二噁英、厂界恶臭气体及悬浮颗粒物、周边土壤重金属及二噁英、炉渣热灼减率为委托检测。并及时对外公布：于安徽省生态环境厅重点企业自行监测及监督性监测信息公开平台；生态环境部污染源监控中心平台中生活垃圾焚烧发电厂自动监测数据公开平台,按要求进行公开。积极落实于亳州市生态环境局、利辛县生态环境分局、临近企业与居民、访客。与上述利益相关者进行环境信息交流情况。目前暂未收到公众对企业环境信息公开不满意的投诉、建议等信息并高度重视节能降耗工作，将节能降耗工作列入年度工作计划，控制吨垃圾发电量，提升垃圾吨发电量。</w:t>
      </w:r>
    </w:p>
    <w:p>
      <w:pPr>
        <w:pStyle w:val="37"/>
        <w:ind w:left="0" w:leftChars="0" w:firstLine="560" w:firstLineChars="200"/>
        <w:rPr>
          <w:rFonts w:hint="default" w:eastAsia="仿宋"/>
          <w:lang w:val="en-US" w:eastAsia="zh-CN"/>
        </w:rPr>
      </w:pPr>
      <w:r>
        <w:rPr>
          <w:rFonts w:hint="default" w:eastAsia="仿宋"/>
          <w:lang w:val="en-US" w:eastAsia="zh-CN"/>
        </w:rPr>
        <w:t>乾县农林生物质焚烧发电项目和乾县垃圾焚烧发电项目将作为乾县集中供热热源的一部分，供热能力约40t/h，采暖蒸汽通过管道外送至规划的热力站，经换热设施及城市供热管网供给热用户，可惠及周边约2万人住宅区域的采暖热负荷需求；乾县拥有61万人口，全县的垃圾产量为300吨/天，原有垃圾填埋的处理方式占用了大量的土地，长期堆积将最终导致重金属积蓄，污染地下水，不利于土地再利用，越来越影响城市的发展和社会的进步，垃圾焚烧发电项目可以合理利用资源，变废为宝，减少浪费，并能改善周边环境；乾县为农业大县，农村大部分树枝、秸秆用于炊事、取暖、甚至在农田里焚烧，造成能源的大量浪费，而且燃烧秸秆时所产生的二氧化碳等有害物质严重污染大气，引发火灾等，生物质电厂的建设开辟了秸秆利用的新途径，杜绝秸秆的随地堆放，有力地促进了农村文明建设，并且从根本上解决了秸秆在田间焚烧的问题，改善了当地的大气环境质量。</w:t>
      </w:r>
    </w:p>
    <w:p>
      <w:pPr>
        <w:pStyle w:val="37"/>
        <w:ind w:left="0" w:leftChars="0" w:firstLine="560" w:firstLineChars="200"/>
        <w:rPr>
          <w:rFonts w:hint="eastAsia"/>
        </w:rPr>
      </w:pPr>
      <w:r>
        <w:rPr>
          <w:rFonts w:hint="eastAsia" w:eastAsia="仿宋"/>
          <w:lang w:val="en-US" w:eastAsia="zh-CN"/>
        </w:rPr>
        <w:t>临泉公司4月22日“世界地球日”组织志愿者到临泉县的泉河边上清理水面上的水草枯枝、塑料袋、塑料瓶等漂浮物，经过1个多小时的辛勤劳动，河面的环境卫生状况得到极大的改善。此次活动充分发挥党员艰苦奋斗精神，以党员力量带动群众参与，不断净化河道环境，以实际行动推动党史学习教育走深走实，为周边群众营造碧水蓝天的良好生态。</w:t>
      </w:r>
    </w:p>
    <w:tbl>
      <w:tblPr>
        <w:tblStyle w:val="22"/>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shd w:val="clear" w:color="auto" w:fill="auto"/>
          </w:tcPr>
          <w:p>
            <w:pPr>
              <w:pStyle w:val="42"/>
            </w:pPr>
            <w:r>
              <w:rPr>
                <w:rFonts w:hint="eastAsia" w:eastAsiaTheme="minorEastAsia"/>
                <w:sz w:val="32"/>
                <w:szCs w:val="32"/>
                <w:lang w:eastAsia="zh-CN"/>
              </w:rPr>
              <w:drawing>
                <wp:inline distT="0" distB="0" distL="114300" distR="114300">
                  <wp:extent cx="2628265" cy="1979930"/>
                  <wp:effectExtent l="0" t="0" r="635" b="1270"/>
                  <wp:docPr id="39" name="图片 39" descr="环保发电颍上公司荣获”颍上县节水型企业“荣誉称号1"/>
                  <wp:cNvGraphicFramePr/>
                  <a:graphic xmlns:a="http://schemas.openxmlformats.org/drawingml/2006/main">
                    <a:graphicData uri="http://schemas.openxmlformats.org/drawingml/2006/picture">
                      <pic:pic xmlns:pic="http://schemas.openxmlformats.org/drawingml/2006/picture">
                        <pic:nvPicPr>
                          <pic:cNvPr id="39" name="图片 39" descr="环保发电颍上公司荣获”颍上县节水型企业“荣誉称号1"/>
                          <pic:cNvPicPr/>
                        </pic:nvPicPr>
                        <pic:blipFill>
                          <a:blip r:embed="rId44"/>
                          <a:stretch>
                            <a:fillRect/>
                          </a:stretch>
                        </pic:blipFill>
                        <pic:spPr>
                          <a:xfrm>
                            <a:off x="0" y="0"/>
                            <a:ext cx="2628265" cy="1979930"/>
                          </a:xfrm>
                          <a:prstGeom prst="rect">
                            <a:avLst/>
                          </a:prstGeom>
                        </pic:spPr>
                      </pic:pic>
                    </a:graphicData>
                  </a:graphic>
                </wp:inline>
              </w:drawing>
            </w:r>
          </w:p>
        </w:tc>
        <w:tc>
          <w:tcPr>
            <w:tcW w:w="4264" w:type="dxa"/>
            <w:shd w:val="clear" w:color="auto" w:fill="auto"/>
          </w:tcPr>
          <w:p>
            <w:pPr>
              <w:pStyle w:val="42"/>
            </w:pPr>
            <w:r>
              <w:rPr>
                <w:rFonts w:hint="eastAsia" w:ascii="楷体_GB2312" w:hAnsi="楷体_GB2312" w:eastAsia="楷体_GB2312" w:cs="楷体_GB2312"/>
                <w:b/>
                <w:bCs/>
                <w:kern w:val="2"/>
                <w:sz w:val="32"/>
                <w:szCs w:val="32"/>
                <w:lang w:val="en-US" w:eastAsia="zh-CN" w:bidi="ar-SA"/>
              </w:rPr>
              <w:drawing>
                <wp:inline distT="0" distB="0" distL="114300" distR="114300">
                  <wp:extent cx="2628265" cy="1979930"/>
                  <wp:effectExtent l="0" t="0" r="635" b="1270"/>
                  <wp:docPr id="59" name="图片 59" descr="IMG_2698"/>
                  <wp:cNvGraphicFramePr/>
                  <a:graphic xmlns:a="http://schemas.openxmlformats.org/drawingml/2006/main">
                    <a:graphicData uri="http://schemas.openxmlformats.org/drawingml/2006/picture">
                      <pic:pic xmlns:pic="http://schemas.openxmlformats.org/drawingml/2006/picture">
                        <pic:nvPicPr>
                          <pic:cNvPr id="59" name="图片 59" descr="IMG_2698"/>
                          <pic:cNvPicPr/>
                        </pic:nvPicPr>
                        <pic:blipFill>
                          <a:blip r:embed="rId45"/>
                          <a:stretch>
                            <a:fillRect/>
                          </a:stretch>
                        </pic:blipFill>
                        <pic:spPr>
                          <a:xfrm>
                            <a:off x="0" y="0"/>
                            <a:ext cx="2628265" cy="1979930"/>
                          </a:xfrm>
                          <a:prstGeom prst="rect">
                            <a:avLst/>
                          </a:prstGeom>
                        </pic:spPr>
                      </pic:pic>
                    </a:graphicData>
                  </a:graphic>
                </wp:inline>
              </w:drawing>
            </w:r>
          </w:p>
        </w:tc>
      </w:tr>
      <w:tr>
        <w:tblPrEx>
          <w:tblCellMar>
            <w:top w:w="0" w:type="dxa"/>
            <w:left w:w="108" w:type="dxa"/>
            <w:bottom w:w="0" w:type="dxa"/>
            <w:right w:w="108" w:type="dxa"/>
          </w:tblCellMar>
        </w:tblPrEx>
        <w:tc>
          <w:tcPr>
            <w:tcW w:w="4264" w:type="dxa"/>
            <w:shd w:val="clear" w:color="auto" w:fill="auto"/>
          </w:tcPr>
          <w:p>
            <w:pPr>
              <w:pStyle w:val="38"/>
              <w:rPr>
                <w:rFonts w:hint="eastAsia" w:eastAsia="仿宋"/>
                <w:lang w:eastAsia="zh-CN"/>
              </w:rPr>
            </w:pPr>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lang w:val="en-US" w:eastAsia="zh-CN"/>
              </w:rPr>
              <w:t>3</w:t>
            </w:r>
            <w:r>
              <w:fldChar w:fldCharType="end"/>
            </w:r>
            <w:r>
              <w:rPr>
                <w:rFonts w:hint="eastAsia"/>
                <w:lang w:val="en-US" w:eastAsia="zh-CN"/>
              </w:rPr>
              <w:t>4</w:t>
            </w:r>
            <w:r>
              <w:t xml:space="preserve"> </w:t>
            </w:r>
            <w:r>
              <w:rPr>
                <w:rFonts w:hint="eastAsia"/>
                <w:lang w:eastAsia="zh-CN"/>
              </w:rPr>
              <w:t>颍上公司被</w:t>
            </w:r>
            <w:r>
              <w:rPr>
                <w:rFonts w:hint="eastAsia"/>
                <w:lang w:val="en-US" w:eastAsia="zh-CN"/>
              </w:rPr>
              <w:t>授予“颍上县节水型企业”荣誉称号</w:t>
            </w:r>
          </w:p>
        </w:tc>
        <w:tc>
          <w:tcPr>
            <w:tcW w:w="4264" w:type="dxa"/>
            <w:shd w:val="clear" w:color="auto" w:fill="auto"/>
          </w:tcPr>
          <w:p>
            <w:pPr>
              <w:pStyle w:val="38"/>
              <w:rPr>
                <w:rFonts w:hint="eastAsia" w:eastAsia="仿宋"/>
                <w:lang w:eastAsia="zh-CN"/>
              </w:rPr>
            </w:pPr>
            <w:r>
              <w:rPr>
                <w:rFonts w:hint="eastAsia"/>
              </w:rPr>
              <w:t>图</w:t>
            </w:r>
            <w:r>
              <w:rPr>
                <w:rFonts w:hint="eastAsia"/>
                <w:lang w:val="en-US" w:eastAsia="zh-CN"/>
              </w:rPr>
              <w:t>35</w:t>
            </w:r>
            <w:r>
              <w:t xml:space="preserve"> </w:t>
            </w:r>
            <w:r>
              <w:rPr>
                <w:rFonts w:hint="eastAsia"/>
                <w:lang w:eastAsia="zh-CN"/>
              </w:rPr>
              <w:t>临泉</w:t>
            </w:r>
            <w:r>
              <w:rPr>
                <w:rFonts w:hint="eastAsia"/>
              </w:rPr>
              <w:t>公司</w:t>
            </w:r>
            <w:r>
              <w:rPr>
                <w:rFonts w:hint="eastAsia"/>
                <w:lang w:eastAsia="zh-CN"/>
              </w:rPr>
              <w:t>党员志愿者清理河边垃圾</w:t>
            </w:r>
          </w:p>
        </w:tc>
      </w:tr>
    </w:tbl>
    <w:p>
      <w:bookmarkStart w:id="55" w:name="_Toc32933565"/>
    </w:p>
    <w:p>
      <w:pPr>
        <w:sectPr>
          <w:pgSz w:w="11906" w:h="16838"/>
          <w:pgMar w:top="1440" w:right="1797" w:bottom="1440" w:left="1797" w:header="851" w:footer="992" w:gutter="0"/>
          <w:cols w:space="425" w:num="1"/>
          <w:docGrid w:linePitch="312" w:charSpace="0"/>
        </w:sectPr>
      </w:pPr>
    </w:p>
    <w:p>
      <w:pPr>
        <w:pStyle w:val="5"/>
        <w:spacing w:before="240" w:after="240"/>
      </w:pPr>
      <w:bookmarkStart w:id="56" w:name="_Toc33176299"/>
      <w:bookmarkStart w:id="57" w:name="_Toc32950343"/>
      <w:r>
        <w:rPr>
          <w:rFonts w:hint="eastAsia"/>
        </w:rPr>
        <w:t>开</w:t>
      </w:r>
      <w:r>
        <w:t>放发展</w:t>
      </w:r>
      <w:bookmarkEnd w:id="55"/>
      <w:bookmarkEnd w:id="56"/>
      <w:bookmarkEnd w:id="57"/>
    </w:p>
    <w:p>
      <w:pPr>
        <w:pStyle w:val="37"/>
      </w:pPr>
      <w:r>
        <w:rPr>
          <w:rFonts w:hint="eastAsia"/>
        </w:rPr>
        <w:t>环保发电公司系统抓住世界环境日、五四青年节、城市创建等时机，组织环保志愿者和宣讲团走上街头、深入社区，借助企业宣传片、垃圾发电小贴士、环保实时监控屏等宣传载体，广泛开展了以垃圾发电网上论坛、面对面科普答疑、厂乡联谊共建等为主题的环保公益活动。同时企业打破关门办厂的思想禁锢，各垃圾发电厂通过举办“企业开放日”、“厂情发布日”、“总经理接待日”等方式，迎来了数以千计的官员、市民、大学生及媒体朋友，他们在调研参观、社会实践和现场采访中，彻底颠覆了对垃圾焚烧发电厂脏乱差的最初想象。</w:t>
      </w:r>
    </w:p>
    <w:p>
      <w:pPr>
        <w:pStyle w:val="37"/>
        <w:rPr>
          <w:rFonts w:hint="eastAsia"/>
        </w:rPr>
      </w:pPr>
      <w:r>
        <w:rPr>
          <w:rFonts w:hint="eastAsia"/>
        </w:rPr>
        <w:t>12月4日，为进一步推进环保设施向公众开放，消除“邻避效应”，使公众了解、关注、支持垃圾焚烧发电事业，营造人人参与生态环境保护的良好社会氛围，滁州市委网信办、龙蟠南苑社区共同组织开展研学实践活动，邀请社区20多名小学生赴滁州公司参与环保设施公众开放活动。 在讲解员带领下，大家先后参观了沙盘、垃圾吊控制室、集控室等区域，详细了解了垃圾焚烧发电的工艺流程，对垃圾运输、发酵、入炉焚烧、发电及烟气净化处理的全过程有了初步了解和认识。通过此次活动的开展，使大家切身感受到环境保护的重要性，提高了对生态环境保护的意识。今后，滁州公司持续定期向公众开放，为推进公众积极参与生态文明建设营造良好的社会氛围。</w:t>
      </w:r>
    </w:p>
    <w:p>
      <w:pPr>
        <w:pStyle w:val="37"/>
        <w:rPr>
          <w:rFonts w:hint="eastAsia"/>
        </w:rPr>
      </w:pPr>
      <w:r>
        <w:rPr>
          <w:rFonts w:hint="eastAsia"/>
          <w:lang w:val="en-US" w:eastAsia="zh-CN"/>
        </w:rPr>
        <w:t>蚌埠</w:t>
      </w:r>
      <w:r>
        <w:t>公司坚持对社会采取开放参观态度，欢迎社会各界人士来公司参观、交流和学习，逐步打造成全天候、全过程、全方位开放式的垃圾焚烧发电厂。</w:t>
      </w:r>
      <w:r>
        <w:rPr>
          <w:rFonts w:hint="eastAsia"/>
        </w:rPr>
        <w:t>20</w:t>
      </w:r>
      <w:r>
        <w:rPr>
          <w:rFonts w:hint="eastAsia"/>
          <w:lang w:val="en-US" w:eastAsia="zh-CN"/>
        </w:rPr>
        <w:t>21</w:t>
      </w:r>
      <w:r>
        <w:rPr>
          <w:rFonts w:hint="eastAsia"/>
        </w:rPr>
        <w:t>年6月、</w:t>
      </w:r>
      <w:r>
        <w:rPr>
          <w:rFonts w:hint="eastAsia"/>
          <w:lang w:val="en-US" w:eastAsia="zh-CN"/>
        </w:rPr>
        <w:t>12</w:t>
      </w:r>
      <w:r>
        <w:rPr>
          <w:rFonts w:hint="eastAsia"/>
        </w:rPr>
        <w:t>月分别开展了环保开放日活动，</w:t>
      </w:r>
      <w:r>
        <w:rPr>
          <w:rFonts w:hint="eastAsia"/>
          <w:lang w:val="en-US" w:eastAsia="zh-CN"/>
        </w:rPr>
        <w:t>五河县</w:t>
      </w:r>
      <w:r>
        <w:rPr>
          <w:rFonts w:hint="eastAsia"/>
        </w:rPr>
        <w:t>各领域代表</w:t>
      </w:r>
      <w:r>
        <w:rPr>
          <w:rFonts w:hint="eastAsia"/>
          <w:lang w:val="en-US" w:eastAsia="zh-CN"/>
        </w:rPr>
        <w:t>约200</w:t>
      </w:r>
      <w:r>
        <w:rPr>
          <w:rFonts w:hint="eastAsia"/>
        </w:rPr>
        <w:t>余人来公司参观了解垃圾处理技术，</w:t>
      </w:r>
      <w:r>
        <w:t>有效推动公众对垃圾处理行业的了解和认可</w:t>
      </w:r>
      <w:r>
        <w:rPr>
          <w:rFonts w:hint="eastAsia"/>
        </w:rPr>
        <w:t>。</w:t>
      </w:r>
    </w:p>
    <w:p>
      <w:pPr>
        <w:pStyle w:val="37"/>
        <w:ind w:left="0" w:leftChars="0" w:firstLine="0" w:firstLineChars="0"/>
        <w:rPr>
          <w:rFonts w:hint="eastAsia"/>
        </w:rPr>
      </w:pPr>
    </w:p>
    <w:p>
      <w:pPr>
        <w:pStyle w:val="37"/>
      </w:pPr>
      <w:r>
        <w:rPr>
          <w:rFonts w:hint="eastAsia"/>
        </w:rPr>
        <w:t>安庆</w:t>
      </w:r>
      <w:r>
        <w:t>公司坚持对社会采取开放参观态度，欢迎社会各界人士来公司参观、交流和学习，逐步打造成全天候、全过程、全方位开放式的垃圾焚烧发电厂。</w:t>
      </w:r>
      <w:r>
        <w:rPr>
          <w:rFonts w:hint="eastAsia"/>
        </w:rPr>
        <w:t>2019年6月、10月、11月分别开展了环保开放日活动，安庆市各领域代表190余人来公司参观了解垃圾处理技术，</w:t>
      </w:r>
      <w:r>
        <w:t>有效推动公众对垃圾处理行业的了解和认可</w:t>
      </w:r>
      <w:r>
        <w:rPr>
          <w:rFonts w:hint="eastAsia"/>
        </w:rPr>
        <w:t>。</w:t>
      </w:r>
    </w:p>
    <w:tbl>
      <w:tblPr>
        <w:tblStyle w:val="22"/>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4" w:type="dxa"/>
            <w:shd w:val="clear" w:color="auto" w:fill="auto"/>
          </w:tcPr>
          <w:p>
            <w:pPr>
              <w:jc w:val="center"/>
              <w:rPr>
                <w:rFonts w:ascii="黑体" w:hAnsi="黑体" w:eastAsia="黑体" w:cs="宋体"/>
                <w:b/>
                <w:bCs/>
                <w:kern w:val="0"/>
                <w:sz w:val="18"/>
                <w:szCs w:val="18"/>
              </w:rPr>
            </w:pPr>
            <w:r>
              <w:rPr>
                <w:rFonts w:ascii="宋体" w:hAnsi="宋体" w:cs="宋体"/>
                <w:kern w:val="0"/>
                <w:sz w:val="24"/>
              </w:rPr>
              <w:drawing>
                <wp:inline distT="0" distB="0" distL="0" distR="0">
                  <wp:extent cx="2628265" cy="1979930"/>
                  <wp:effectExtent l="0" t="0" r="635" b="1270"/>
                  <wp:docPr id="29" name="图片 29" descr="C:\Users\Administrator\AppData\Roaming\Tencent\Users\919525820\QQ\WinTemp\RichOle\ET}~I}AUH347[O8M)%X3{6S.png"/>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Tencent\Users\919525820\QQ\WinTemp\RichOle\ET}~I}AUH347[O8M)%X3{6S.png"/>
                          <pic:cNvPicPr>
                            <a:picLocks noChangeArrowheads="1"/>
                          </pic:cNvPicPr>
                        </pic:nvPicPr>
                        <pic:blipFill>
                          <a:blip r:embed="rId46" cstate="print"/>
                          <a:srcRect/>
                          <a:stretch>
                            <a:fillRect/>
                          </a:stretch>
                        </pic:blipFill>
                        <pic:spPr>
                          <a:xfrm>
                            <a:off x="0" y="0"/>
                            <a:ext cx="2628265" cy="1979930"/>
                          </a:xfrm>
                          <a:prstGeom prst="rect">
                            <a:avLst/>
                          </a:prstGeom>
                          <a:noFill/>
                          <a:ln w="9525">
                            <a:noFill/>
                            <a:miter lim="800000"/>
                            <a:headEnd/>
                            <a:tailEnd/>
                          </a:ln>
                        </pic:spPr>
                      </pic:pic>
                    </a:graphicData>
                  </a:graphic>
                </wp:inline>
              </w:drawing>
            </w:r>
          </w:p>
        </w:tc>
        <w:tc>
          <w:tcPr>
            <w:tcW w:w="4264" w:type="dxa"/>
            <w:shd w:val="clear" w:color="auto" w:fill="auto"/>
          </w:tcPr>
          <w:p>
            <w:pPr>
              <w:jc w:val="center"/>
              <w:rPr>
                <w:rFonts w:ascii="黑体" w:hAnsi="黑体" w:eastAsia="黑体" w:cs="宋体"/>
                <w:b/>
                <w:bCs/>
                <w:kern w:val="0"/>
                <w:sz w:val="18"/>
                <w:szCs w:val="18"/>
              </w:rPr>
            </w:pPr>
            <w:r>
              <w:rPr>
                <w:rFonts w:hint="eastAsia" w:eastAsia="仿宋"/>
                <w:lang w:eastAsia="zh-CN"/>
              </w:rPr>
              <w:drawing>
                <wp:inline distT="0" distB="0" distL="114300" distR="114300">
                  <wp:extent cx="2628265" cy="1979930"/>
                  <wp:effectExtent l="0" t="0" r="635" b="1270"/>
                  <wp:docPr id="60" name="图片 60" descr="20210615144113_702"/>
                  <wp:cNvGraphicFramePr/>
                  <a:graphic xmlns:a="http://schemas.openxmlformats.org/drawingml/2006/main">
                    <a:graphicData uri="http://schemas.openxmlformats.org/drawingml/2006/picture">
                      <pic:pic xmlns:pic="http://schemas.openxmlformats.org/drawingml/2006/picture">
                        <pic:nvPicPr>
                          <pic:cNvPr id="60" name="图片 60" descr="20210615144113_702"/>
                          <pic:cNvPicPr/>
                        </pic:nvPicPr>
                        <pic:blipFill>
                          <a:blip r:embed="rId47"/>
                          <a:stretch>
                            <a:fillRect/>
                          </a:stretch>
                        </pic:blipFill>
                        <pic:spPr>
                          <a:xfrm>
                            <a:off x="0" y="0"/>
                            <a:ext cx="2628265" cy="1979930"/>
                          </a:xfrm>
                          <a:prstGeom prst="rect">
                            <a:avLst/>
                          </a:prstGeom>
                        </pic:spPr>
                      </pic:pic>
                    </a:graphicData>
                  </a:graphic>
                </wp:inline>
              </w:drawing>
            </w:r>
          </w:p>
        </w:tc>
      </w:tr>
      <w:tr>
        <w:tblPrEx>
          <w:tblCellMar>
            <w:top w:w="0" w:type="dxa"/>
            <w:left w:w="108" w:type="dxa"/>
            <w:bottom w:w="0" w:type="dxa"/>
            <w:right w:w="108" w:type="dxa"/>
          </w:tblCellMar>
        </w:tblPrEx>
        <w:tc>
          <w:tcPr>
            <w:tcW w:w="4264" w:type="dxa"/>
            <w:shd w:val="clear" w:color="auto" w:fill="auto"/>
          </w:tcPr>
          <w:p>
            <w:pPr>
              <w:pStyle w:val="38"/>
              <w:rPr>
                <w:rFonts w:hint="eastAsia" w:eastAsia="仿宋"/>
                <w:lang w:eastAsia="zh-CN"/>
              </w:rPr>
            </w:pPr>
            <w:r>
              <w:rPr>
                <w:rFonts w:hint="eastAsia"/>
              </w:rPr>
              <w:t>图</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lang w:val="en-US" w:eastAsia="zh-CN"/>
              </w:rPr>
              <w:t>36</w:t>
            </w:r>
            <w:r>
              <w:fldChar w:fldCharType="end"/>
            </w:r>
            <w:r>
              <w:t xml:space="preserve"> </w:t>
            </w:r>
            <w:r>
              <w:rPr>
                <w:rFonts w:hint="eastAsia"/>
                <w:lang w:eastAsia="zh-CN"/>
              </w:rPr>
              <w:t>滁州公司公众开放活动</w:t>
            </w:r>
          </w:p>
        </w:tc>
        <w:tc>
          <w:tcPr>
            <w:tcW w:w="4264" w:type="dxa"/>
            <w:shd w:val="clear" w:color="auto" w:fill="auto"/>
          </w:tcPr>
          <w:p>
            <w:pPr>
              <w:pStyle w:val="38"/>
            </w:pPr>
            <w:r>
              <w:rPr>
                <w:rFonts w:hint="eastAsia"/>
              </w:rPr>
              <w:t>图</w:t>
            </w:r>
            <w:r>
              <w:rPr>
                <w:rFonts w:hint="eastAsia"/>
                <w:lang w:val="en-US" w:eastAsia="zh-CN"/>
              </w:rPr>
              <w:t>37</w:t>
            </w:r>
            <w:r>
              <w:t xml:space="preserve"> </w:t>
            </w:r>
            <w:r>
              <w:rPr>
                <w:rFonts w:hint="eastAsia"/>
                <w:lang w:val="en-US" w:eastAsia="zh-CN"/>
              </w:rPr>
              <w:t>五河县东刘集镇中小学生参观</w:t>
            </w:r>
          </w:p>
        </w:tc>
      </w:tr>
    </w:tbl>
    <w:p>
      <w:pPr>
        <w:pStyle w:val="42"/>
      </w:pPr>
      <w:r>
        <w:rPr>
          <w:rFonts w:hint="eastAsia" w:ascii="仿宋_GB2312" w:hAnsi="宋体" w:eastAsia="仿宋_GB2312" w:cs="Times New Roman"/>
          <w:color w:val="000000"/>
          <w:kern w:val="2"/>
          <w:sz w:val="31"/>
          <w:szCs w:val="31"/>
          <w:lang w:val="en-US" w:eastAsia="zh-CN" w:bidi="ar"/>
        </w:rPr>
        <w:drawing>
          <wp:inline distT="0" distB="0" distL="114300" distR="114300">
            <wp:extent cx="2628265" cy="1979930"/>
            <wp:effectExtent l="0" t="0" r="635" b="1270"/>
            <wp:docPr id="61" name="图片 61" descr="公众开放（池州学院）"/>
            <wp:cNvGraphicFramePr/>
            <a:graphic xmlns:a="http://schemas.openxmlformats.org/drawingml/2006/main">
              <a:graphicData uri="http://schemas.openxmlformats.org/drawingml/2006/picture">
                <pic:pic xmlns:pic="http://schemas.openxmlformats.org/drawingml/2006/picture">
                  <pic:nvPicPr>
                    <pic:cNvPr id="61" name="图片 61" descr="公众开放（池州学院）"/>
                    <pic:cNvPicPr/>
                  </pic:nvPicPr>
                  <pic:blipFill>
                    <a:blip r:embed="rId48"/>
                    <a:stretch>
                      <a:fillRect/>
                    </a:stretch>
                  </pic:blipFill>
                  <pic:spPr>
                    <a:xfrm>
                      <a:off x="0" y="0"/>
                      <a:ext cx="2628265" cy="1979930"/>
                    </a:xfrm>
                    <a:prstGeom prst="rect">
                      <a:avLst/>
                    </a:prstGeom>
                  </pic:spPr>
                </pic:pic>
              </a:graphicData>
            </a:graphic>
          </wp:inline>
        </w:drawing>
      </w:r>
    </w:p>
    <w:p>
      <w:pPr>
        <w:pStyle w:val="38"/>
        <w:rPr>
          <w:rFonts w:hint="eastAsia" w:eastAsia="仿宋"/>
          <w:lang w:eastAsia="zh-CN"/>
        </w:rPr>
      </w:pPr>
      <w:r>
        <w:rPr>
          <w:rFonts w:hint="eastAsia"/>
        </w:rPr>
        <w:t>图</w:t>
      </w:r>
      <w:r>
        <w:rPr>
          <w:rFonts w:hint="eastAsia"/>
          <w:lang w:val="en-US" w:eastAsia="zh-CN"/>
        </w:rPr>
        <w:t>38</w:t>
      </w:r>
      <w:r>
        <w:t xml:space="preserve"> </w:t>
      </w:r>
      <w:r>
        <w:rPr>
          <w:rFonts w:hint="eastAsia"/>
          <w:lang w:eastAsia="zh-CN"/>
        </w:rPr>
        <w:t>池州公司环保公众开放活动</w:t>
      </w:r>
    </w:p>
    <w:p>
      <w:pPr>
        <w:pStyle w:val="37"/>
        <w:rPr>
          <w:rFonts w:hint="eastAsia" w:cs="仿宋_GB2312"/>
          <w:color w:val="000000"/>
          <w:lang w:val="en-US" w:eastAsia="zh-CN" w:bidi="ar"/>
        </w:rPr>
      </w:pPr>
      <w:r>
        <w:rPr>
          <w:rFonts w:hint="eastAsia" w:cs="仿宋_GB2312"/>
          <w:color w:val="000000"/>
          <w:lang w:bidi="ar"/>
        </w:rPr>
        <w:t>积极担当“环保公众开放单位”社会责任</w:t>
      </w:r>
      <w:r>
        <w:rPr>
          <w:rFonts w:hint="eastAsia" w:cs="仿宋_GB2312"/>
          <w:color w:val="000000"/>
          <w:lang w:val="en-US" w:eastAsia="zh-CN" w:bidi="ar"/>
        </w:rPr>
        <w:t>，2021年池州公司培养了两名兼职讲解员，全年开展5次向人大代表、政协委员、媒体记者、学校在内的社会团体应邀走进企业，引导公众进一步了解生活垃圾焚烧处置的环保意义。讲解人员带领参观人员了解垃圾焚烧处理的各个环节，详细解说了垃圾焚烧处理的工艺流程以及如何通过配置完善的烟气、污水、飞灰和炉渣处理等系统实现了生活垃圾处理减量化、无害化、资源化。 池州公司将继续推动好环保设施向公众开放工作，发挥特色，不断丰富开放活动的形式内容，用足用好环保设施向公众开放这一重要抓手，不断满足公众的环境知情权、参与权、监督权，充分履行国有企业的社会责任。</w:t>
      </w:r>
    </w:p>
    <w:p>
      <w:bookmarkStart w:id="58" w:name="_Toc32933566"/>
    </w:p>
    <w:p>
      <w:pPr>
        <w:sectPr>
          <w:pgSz w:w="11906" w:h="16838"/>
          <w:pgMar w:top="1440" w:right="1797" w:bottom="1440" w:left="1797" w:header="851" w:footer="992" w:gutter="0"/>
          <w:cols w:space="425" w:num="1"/>
          <w:docGrid w:linePitch="312" w:charSpace="0"/>
        </w:sectPr>
      </w:pPr>
    </w:p>
    <w:p>
      <w:pPr>
        <w:pStyle w:val="5"/>
        <w:spacing w:before="240" w:after="240"/>
      </w:pPr>
      <w:bookmarkStart w:id="59" w:name="_Toc33176300"/>
      <w:bookmarkStart w:id="60" w:name="_Toc32950344"/>
      <w:r>
        <w:rPr>
          <w:rFonts w:hint="eastAsia"/>
        </w:rPr>
        <w:t>共享发展</w:t>
      </w:r>
      <w:bookmarkEnd w:id="58"/>
      <w:bookmarkEnd w:id="59"/>
      <w:bookmarkEnd w:id="60"/>
    </w:p>
    <w:p>
      <w:pPr>
        <w:pStyle w:val="37"/>
      </w:pPr>
      <w:r>
        <w:rPr>
          <w:rFonts w:hint="eastAsia"/>
        </w:rPr>
        <w:t>环保发电公司通过一系列弘扬主题正能量，影响和带动了广大员工共创企业美好未来。公司认真践行社会责任，坚持服务人民，造福社会，主动承担社会责任，打造内外部环境，督促下属子公司与各方携手一起通过积极参与当地经济的发展，努力回报社会，共同推动社会发展。公司结合企业的自身特点，积极参与社区建设，给当地群众提供就业机会，不仅充分发挥企业社会责任，而且有效促进地区发展。</w:t>
      </w:r>
    </w:p>
    <w:p>
      <w:pPr>
        <w:pStyle w:val="37"/>
        <w:rPr>
          <w:rFonts w:hint="eastAsia" w:cs="Times New Roman"/>
          <w:lang w:eastAsia="zh-CN"/>
        </w:rPr>
      </w:pPr>
      <w:r>
        <w:rPr>
          <w:rFonts w:hint="eastAsia" w:cs="Times New Roman"/>
          <w:lang w:eastAsia="zh-CN"/>
        </w:rPr>
        <w:t>环保发电公司</w:t>
      </w:r>
      <w:r>
        <w:rPr>
          <w:rFonts w:hint="eastAsia" w:cs="Times New Roman"/>
        </w:rPr>
        <w:t>发挥国有企业在乡村振兴中的示范带动作用，环保发电公司积极开展消费帮扶，多个子公司与当地政府建立共建机制，消费帮扶支持当地基础设施建设和环境整治工作。积极选派优秀青年骨干郭妮娜到阜阳市临泉县滑集镇南杨小庄村担任驻村第一书记，与当地建立长期帮扶机制，每季度开展消费帮扶，促进乡村产业发展。2021年环保发电公司全系统消费帮扶总金额为23.88万元</w:t>
      </w:r>
      <w:r>
        <w:rPr>
          <w:rFonts w:hint="eastAsia" w:cs="Times New Roman"/>
          <w:lang w:eastAsia="zh-CN"/>
        </w:rPr>
        <w:t>。</w:t>
      </w:r>
    </w:p>
    <w:p>
      <w:pPr>
        <w:pStyle w:val="37"/>
        <w:rPr>
          <w:rFonts w:hint="eastAsia"/>
        </w:rPr>
      </w:pPr>
      <w:r>
        <w:rPr>
          <w:rFonts w:hint="eastAsia"/>
          <w:lang w:val="en-US" w:eastAsia="zh-CN"/>
        </w:rPr>
        <w:t>蚌埠</w:t>
      </w:r>
      <w:r>
        <w:rPr>
          <w:rFonts w:hint="eastAsia"/>
        </w:rPr>
        <w:t>公司通过一系列弘扬主题正能量，影响和带动了广大员工共创企业美好未来。公司认真践行社会责任，坚持服务人民，造福社会，主动承担社会责任，打造内外部环境，与各方携手一起通过积极参与当地经济的发展，努力回报社会，共同推动社会发展。公司结合企业的自身特点，积极参与社区建设，给当地群众提供就业机会，不仅充分发挥企业社会责任，而且有效促进地区发展。</w:t>
      </w:r>
    </w:p>
    <w:p>
      <w:pPr>
        <w:pStyle w:val="37"/>
      </w:pPr>
      <w:r>
        <w:rPr>
          <w:rFonts w:hint="eastAsia"/>
          <w:lang w:val="en-US" w:eastAsia="zh-CN"/>
        </w:rPr>
        <w:t>由于夏季天气持续高温，临泉公司为确保二期扩建工程施工和公司人员的平安度夏，临泉公司继续在炎炎夏日组织开展“送清凉”消暑慰问活动，为现场外委工作人员和扩建施工人员送去凉茶、矿泉水等消暑物品。  通过“送清凉”慰问活动得到了EPC总包单位和公司外委单位的一致好评，激发了工人的工作热情，为保障一线工人的安全贡献着力量。</w:t>
      </w:r>
    </w:p>
    <w:tbl>
      <w:tblPr>
        <w:tblStyle w:val="22"/>
        <w:tblW w:w="0" w:type="auto"/>
        <w:tblInd w:w="0" w:type="dxa"/>
        <w:tblLayout w:type="autofit"/>
        <w:tblCellMar>
          <w:top w:w="0" w:type="dxa"/>
          <w:left w:w="108" w:type="dxa"/>
          <w:bottom w:w="0" w:type="dxa"/>
          <w:right w:w="108" w:type="dxa"/>
        </w:tblCellMar>
      </w:tblPr>
      <w:tblGrid>
        <w:gridCol w:w="4264"/>
        <w:gridCol w:w="4264"/>
      </w:tblGrid>
      <w:tr>
        <w:tblPrEx>
          <w:tblCellMar>
            <w:top w:w="0" w:type="dxa"/>
            <w:left w:w="108" w:type="dxa"/>
            <w:bottom w:w="0" w:type="dxa"/>
            <w:right w:w="108" w:type="dxa"/>
          </w:tblCellMar>
        </w:tblPrEx>
        <w:tc>
          <w:tcPr>
            <w:tcW w:w="4262" w:type="dxa"/>
            <w:shd w:val="clear" w:color="auto" w:fill="auto"/>
          </w:tcPr>
          <w:p>
            <w:pPr>
              <w:rPr>
                <w:rFonts w:ascii="黑体" w:hAnsi="黑体" w:eastAsia="黑体"/>
                <w:b/>
                <w:bCs/>
                <w:sz w:val="18"/>
                <w:szCs w:val="18"/>
              </w:rPr>
            </w:pPr>
            <w:r>
              <w:drawing>
                <wp:inline distT="0" distB="0" distL="0" distR="0">
                  <wp:extent cx="2628265" cy="1979930"/>
                  <wp:effectExtent l="0" t="0" r="635" b="1270"/>
                  <wp:docPr id="66" name="图片 39" descr="C:\Users\AUS U\Desktop\新建文件夹\20201103104419_685.jpg20201103104419_685"/>
                  <wp:cNvGraphicFramePr/>
                  <a:graphic xmlns:a="http://schemas.openxmlformats.org/drawingml/2006/main">
                    <a:graphicData uri="http://schemas.openxmlformats.org/drawingml/2006/picture">
                      <pic:pic xmlns:pic="http://schemas.openxmlformats.org/drawingml/2006/picture">
                        <pic:nvPicPr>
                          <pic:cNvPr id="66" name="图片 39" descr="C:\Users\AUS U\Desktop\新建文件夹\20201103104419_685.jpg20201103104419_685"/>
                          <pic:cNvPicPr>
                            <a:picLocks noChangeArrowheads="1"/>
                          </pic:cNvPicPr>
                        </pic:nvPicPr>
                        <pic:blipFill>
                          <a:blip r:embed="rId49"/>
                          <a:srcRect/>
                          <a:stretch>
                            <a:fillRect/>
                          </a:stretch>
                        </pic:blipFill>
                        <pic:spPr>
                          <a:xfrm>
                            <a:off x="0" y="0"/>
                            <a:ext cx="2628265" cy="1979930"/>
                          </a:xfrm>
                          <a:prstGeom prst="rect">
                            <a:avLst/>
                          </a:prstGeom>
                          <a:noFill/>
                          <a:ln>
                            <a:noFill/>
                          </a:ln>
                        </pic:spPr>
                      </pic:pic>
                    </a:graphicData>
                  </a:graphic>
                </wp:inline>
              </w:drawing>
            </w:r>
          </w:p>
        </w:tc>
        <w:tc>
          <w:tcPr>
            <w:tcW w:w="4266" w:type="dxa"/>
            <w:shd w:val="clear" w:color="auto" w:fill="auto"/>
          </w:tcPr>
          <w:p>
            <w:pPr>
              <w:rPr>
                <w:rFonts w:ascii="黑体" w:hAnsi="黑体" w:eastAsia="黑体"/>
                <w:b/>
                <w:bCs/>
                <w:sz w:val="18"/>
                <w:szCs w:val="18"/>
              </w:rPr>
            </w:pPr>
            <w:r>
              <w:rPr>
                <w:rFonts w:hint="eastAsia" w:ascii="仿宋_GB2312" w:eastAsia="仿宋_GB2312"/>
                <w:sz w:val="32"/>
                <w:szCs w:val="32"/>
                <w:lang w:val="en-US" w:eastAsia="zh-CN"/>
              </w:rPr>
              <w:drawing>
                <wp:inline distT="0" distB="0" distL="114300" distR="114300">
                  <wp:extent cx="2628265" cy="1979930"/>
                  <wp:effectExtent l="0" t="0" r="635" b="1270"/>
                  <wp:docPr id="12" name="图片 12" descr="IMG_3520"/>
                  <wp:cNvGraphicFramePr/>
                  <a:graphic xmlns:a="http://schemas.openxmlformats.org/drawingml/2006/main">
                    <a:graphicData uri="http://schemas.openxmlformats.org/drawingml/2006/picture">
                      <pic:pic xmlns:pic="http://schemas.openxmlformats.org/drawingml/2006/picture">
                        <pic:nvPicPr>
                          <pic:cNvPr id="12" name="图片 12" descr="IMG_3520"/>
                          <pic:cNvPicPr/>
                        </pic:nvPicPr>
                        <pic:blipFill>
                          <a:blip r:embed="rId50"/>
                          <a:stretch>
                            <a:fillRect/>
                          </a:stretch>
                        </pic:blipFill>
                        <pic:spPr>
                          <a:xfrm>
                            <a:off x="0" y="0"/>
                            <a:ext cx="2628265" cy="1979930"/>
                          </a:xfrm>
                          <a:prstGeom prst="rect">
                            <a:avLst/>
                          </a:prstGeom>
                        </pic:spPr>
                      </pic:pic>
                    </a:graphicData>
                  </a:graphic>
                </wp:inline>
              </w:drawing>
            </w:r>
          </w:p>
        </w:tc>
      </w:tr>
      <w:tr>
        <w:tblPrEx>
          <w:tblCellMar>
            <w:top w:w="0" w:type="dxa"/>
            <w:left w:w="108" w:type="dxa"/>
            <w:bottom w:w="0" w:type="dxa"/>
            <w:right w:w="108" w:type="dxa"/>
          </w:tblCellMar>
        </w:tblPrEx>
        <w:tc>
          <w:tcPr>
            <w:tcW w:w="4262" w:type="dxa"/>
            <w:shd w:val="clear" w:color="auto" w:fill="auto"/>
          </w:tcPr>
          <w:p>
            <w:pPr>
              <w:pStyle w:val="38"/>
            </w:pPr>
            <w:r>
              <w:rPr>
                <w:rFonts w:hint="eastAsia"/>
              </w:rPr>
              <w:t>图</w:t>
            </w:r>
            <w:r>
              <w:rPr>
                <w:rFonts w:hint="eastAsia"/>
                <w:lang w:val="en-US" w:eastAsia="zh-CN"/>
              </w:rPr>
              <w:t>39</w:t>
            </w:r>
            <w:r>
              <w:t xml:space="preserve"> </w:t>
            </w:r>
            <w:r>
              <w:rPr>
                <w:rFonts w:hint="eastAsia"/>
                <w:lang w:val="en-US" w:eastAsia="zh-CN"/>
              </w:rPr>
              <w:t>蚌埠公司志愿者服务队</w:t>
            </w:r>
          </w:p>
        </w:tc>
        <w:tc>
          <w:tcPr>
            <w:tcW w:w="4266" w:type="dxa"/>
            <w:shd w:val="clear" w:color="auto" w:fill="auto"/>
          </w:tcPr>
          <w:p>
            <w:pPr>
              <w:pStyle w:val="38"/>
              <w:rPr>
                <w:rFonts w:hint="eastAsia" w:eastAsia="仿宋"/>
                <w:lang w:eastAsia="zh-CN"/>
              </w:rPr>
            </w:pPr>
            <w:r>
              <w:rPr>
                <w:rFonts w:hint="eastAsia"/>
              </w:rPr>
              <w:t>图</w:t>
            </w:r>
            <w:r>
              <w:rPr>
                <w:rFonts w:hint="eastAsia"/>
                <w:lang w:val="en-US" w:eastAsia="zh-CN"/>
              </w:rPr>
              <w:t>40</w:t>
            </w:r>
            <w:r>
              <w:t xml:space="preserve"> </w:t>
            </w:r>
            <w:r>
              <w:rPr>
                <w:rFonts w:hint="eastAsia"/>
              </w:rPr>
              <w:t>临泉公司</w:t>
            </w:r>
            <w:r>
              <w:rPr>
                <w:rFonts w:hint="eastAsia"/>
                <w:lang w:eastAsia="zh-CN"/>
              </w:rPr>
              <w:t>给施工单位送清凉</w:t>
            </w:r>
          </w:p>
        </w:tc>
      </w:tr>
    </w:tbl>
    <w:p>
      <w:pPr>
        <w:rPr>
          <w:rFonts w:hint="eastAsia"/>
        </w:rPr>
        <w:sectPr>
          <w:pgSz w:w="11906" w:h="16838"/>
          <w:pgMar w:top="1440" w:right="1797" w:bottom="1440" w:left="1797" w:header="851" w:footer="992" w:gutter="0"/>
          <w:cols w:space="425" w:num="1"/>
          <w:docGrid w:linePitch="312" w:charSpace="0"/>
        </w:sectPr>
      </w:pPr>
      <w:bookmarkStart w:id="61" w:name="_Toc32933567"/>
      <w:bookmarkStart w:id="62" w:name="_Toc32950345"/>
    </w:p>
    <w:p>
      <w:pPr>
        <w:pStyle w:val="5"/>
        <w:spacing w:before="240" w:after="240"/>
      </w:pPr>
      <w:bookmarkStart w:id="63" w:name="_Toc33176301"/>
      <w:r>
        <w:rPr>
          <w:rFonts w:hint="eastAsia"/>
        </w:rPr>
        <w:t>结语</w:t>
      </w:r>
      <w:bookmarkEnd w:id="61"/>
      <w:bookmarkEnd w:id="62"/>
      <w:bookmarkEnd w:id="63"/>
    </w:p>
    <w:p>
      <w:pPr>
        <w:pStyle w:val="37"/>
      </w:pPr>
      <w:r>
        <w:rPr>
          <w:rFonts w:hint="eastAsia"/>
        </w:rPr>
        <w:t>环境就是民生，青山就是美丽，蓝天也是幸福。要像保护眼睛一样保护生态环境，像对待生命一样对待生态环境。环保发电公司积极响应习近平主席“蓝天保卫战”行动的号召，齐心协力推进大气污染综合治理。坚持绿色发展，大力推进节能减排，切实保护生态环境，以实际行动贯彻落实十九大精神。未来环保发电公司将积极参与和开展公益活动，积极参与救灾、扶贫等活动，为安徽省的民生和经济做贡献。在未来全面推进创新发展、协调发展、绿色发展、开放发展、共享发展，确保全面建成小康社会的历史伟业中，环保发电公司将以更加优异的成绩谱写社会责任的新诗篇。</w:t>
      </w:r>
    </w:p>
    <w:p>
      <w:pPr>
        <w:pStyle w:val="37"/>
      </w:pPr>
    </w:p>
    <w:p>
      <w:pPr>
        <w:pStyle w:val="37"/>
      </w:pPr>
    </w:p>
    <w:p>
      <w:pPr>
        <w:pStyle w:val="37"/>
      </w:pPr>
    </w:p>
    <w:p>
      <w:pPr>
        <w:pStyle w:val="37"/>
      </w:pPr>
      <w:bookmarkStart w:id="64" w:name="_GoBack"/>
      <w:bookmarkEnd w:id="64"/>
    </w:p>
    <w:p>
      <w:pPr>
        <w:pStyle w:val="37"/>
        <w:ind w:firstLine="4844" w:firstLineChars="1730"/>
        <w:jc w:val="center"/>
      </w:pPr>
      <w:r>
        <w:rPr>
          <w:rFonts w:hint="eastAsia"/>
        </w:rPr>
        <w:t>安徽皖能环保发电有限公司</w:t>
      </w:r>
    </w:p>
    <w:p>
      <w:pPr>
        <w:pStyle w:val="37"/>
        <w:ind w:firstLine="4844" w:firstLineChars="1730"/>
        <w:jc w:val="center"/>
      </w:pPr>
      <w:r>
        <w:rPr>
          <w:rFonts w:hint="eastAsia"/>
        </w:rPr>
        <w:t>20</w:t>
      </w:r>
      <w:r>
        <w:rPr>
          <w:rFonts w:hint="eastAsia"/>
          <w:lang w:val="en-US" w:eastAsia="zh-CN"/>
        </w:rPr>
        <w:t>22</w:t>
      </w:r>
      <w:r>
        <w:rPr>
          <w:rFonts w:hint="eastAsia"/>
        </w:rPr>
        <w:t>年</w:t>
      </w:r>
      <w:r>
        <w:t>2</w:t>
      </w:r>
      <w:r>
        <w:rPr>
          <w:rFonts w:hint="eastAsia"/>
        </w:rPr>
        <w:t>月</w:t>
      </w:r>
    </w:p>
    <w:sectPr>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2</w:t>
    </w:r>
    <w:r>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rPr>
        <w:lang w:val="zh-CN"/>
      </w:rPr>
      <w:fldChar w:fldCharType="begin"/>
    </w:r>
    <w:r>
      <w:rPr>
        <w:lang w:val="zh-CN"/>
      </w:rPr>
      <w:instrText xml:space="preserve">PAGE   \* MERGEFORMAT</w:instrText>
    </w:r>
    <w:r>
      <w:rPr>
        <w:lang w:val="zh-CN"/>
      </w:rPr>
      <w:fldChar w:fldCharType="separate"/>
    </w:r>
    <w:r>
      <w:rPr>
        <w:lang w:val="zh-CN"/>
      </w:rPr>
      <w:t>2</w:t>
    </w:r>
    <w:r>
      <w:rPr>
        <w:lang w:val="zh-CN"/>
      </w:rPr>
      <w:fldChar w:fldCharType="end"/>
    </w:r>
  </w:p>
  <w:p>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7408CD"/>
    <w:multiLevelType w:val="multilevel"/>
    <w:tmpl w:val="307408CD"/>
    <w:lvl w:ilvl="0" w:tentative="0">
      <w:start w:val="1"/>
      <w:numFmt w:val="chineseCountingThousand"/>
      <w:pStyle w:val="5"/>
      <w:suff w:val="nothing"/>
      <w:lvlText w:val="%1、"/>
      <w:lvlJc w:val="left"/>
      <w:pPr>
        <w:ind w:left="0" w:firstLine="0"/>
      </w:pPr>
      <w:rPr>
        <w:rFonts w:hint="eastAsia"/>
        <w:lang w:val="en-US"/>
      </w:rPr>
    </w:lvl>
    <w:lvl w:ilvl="1" w:tentative="0">
      <w:start w:val="1"/>
      <w:numFmt w:val="chineseCountingThousand"/>
      <w:pStyle w:val="6"/>
      <w:suff w:val="nothing"/>
      <w:lvlText w:val="（%2）"/>
      <w:lvlJc w:val="left"/>
      <w:pPr>
        <w:ind w:left="0" w:firstLine="0"/>
      </w:pPr>
      <w:rPr>
        <w:rFonts w:hint="eastAsia"/>
      </w:rPr>
    </w:lvl>
    <w:lvl w:ilvl="2" w:tentative="0">
      <w:start w:val="1"/>
      <w:numFmt w:val="decimal"/>
      <w:lvlText w:val="%1.%2.%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210"/>
    <w:rsid w:val="00010CD9"/>
    <w:rsid w:val="00011C31"/>
    <w:rsid w:val="00012703"/>
    <w:rsid w:val="00012896"/>
    <w:rsid w:val="0001320E"/>
    <w:rsid w:val="00020B9C"/>
    <w:rsid w:val="000237C1"/>
    <w:rsid w:val="0002415B"/>
    <w:rsid w:val="00024BA0"/>
    <w:rsid w:val="00025DBD"/>
    <w:rsid w:val="000261D7"/>
    <w:rsid w:val="00026CAD"/>
    <w:rsid w:val="00031024"/>
    <w:rsid w:val="00032A63"/>
    <w:rsid w:val="00033671"/>
    <w:rsid w:val="00033C23"/>
    <w:rsid w:val="00034685"/>
    <w:rsid w:val="0003518B"/>
    <w:rsid w:val="00036CBC"/>
    <w:rsid w:val="0004440C"/>
    <w:rsid w:val="00047D96"/>
    <w:rsid w:val="00053F6E"/>
    <w:rsid w:val="00055138"/>
    <w:rsid w:val="0006046E"/>
    <w:rsid w:val="00060A54"/>
    <w:rsid w:val="00071FF2"/>
    <w:rsid w:val="000736C4"/>
    <w:rsid w:val="0007502B"/>
    <w:rsid w:val="000765E6"/>
    <w:rsid w:val="000770EF"/>
    <w:rsid w:val="00083D66"/>
    <w:rsid w:val="00085D5E"/>
    <w:rsid w:val="000A2ABB"/>
    <w:rsid w:val="000A35FD"/>
    <w:rsid w:val="000A7E2F"/>
    <w:rsid w:val="000B5B6E"/>
    <w:rsid w:val="000C1863"/>
    <w:rsid w:val="000D1A55"/>
    <w:rsid w:val="000D3530"/>
    <w:rsid w:val="000D7EBB"/>
    <w:rsid w:val="000E155D"/>
    <w:rsid w:val="000E15B3"/>
    <w:rsid w:val="000E2B4E"/>
    <w:rsid w:val="000E31A9"/>
    <w:rsid w:val="000E57F4"/>
    <w:rsid w:val="000E5932"/>
    <w:rsid w:val="000E773A"/>
    <w:rsid w:val="000F0014"/>
    <w:rsid w:val="00100676"/>
    <w:rsid w:val="001041F6"/>
    <w:rsid w:val="0010725F"/>
    <w:rsid w:val="0010774B"/>
    <w:rsid w:val="00107EF6"/>
    <w:rsid w:val="00111544"/>
    <w:rsid w:val="001143F6"/>
    <w:rsid w:val="0011759E"/>
    <w:rsid w:val="00120913"/>
    <w:rsid w:val="001249F3"/>
    <w:rsid w:val="0013263A"/>
    <w:rsid w:val="00132BC8"/>
    <w:rsid w:val="0013358F"/>
    <w:rsid w:val="00151EE0"/>
    <w:rsid w:val="00161EB2"/>
    <w:rsid w:val="00164AC8"/>
    <w:rsid w:val="001663DC"/>
    <w:rsid w:val="00170780"/>
    <w:rsid w:val="00170C99"/>
    <w:rsid w:val="0017430E"/>
    <w:rsid w:val="00180F3D"/>
    <w:rsid w:val="00187FBA"/>
    <w:rsid w:val="00195507"/>
    <w:rsid w:val="001A5616"/>
    <w:rsid w:val="001A728E"/>
    <w:rsid w:val="001B58FC"/>
    <w:rsid w:val="001C74E1"/>
    <w:rsid w:val="001D4EBD"/>
    <w:rsid w:val="001D5CB9"/>
    <w:rsid w:val="001E2249"/>
    <w:rsid w:val="001F28E8"/>
    <w:rsid w:val="001F4CD6"/>
    <w:rsid w:val="001F6093"/>
    <w:rsid w:val="001F6C38"/>
    <w:rsid w:val="00223C34"/>
    <w:rsid w:val="00234D53"/>
    <w:rsid w:val="0023610C"/>
    <w:rsid w:val="00236923"/>
    <w:rsid w:val="00236F1D"/>
    <w:rsid w:val="0024188D"/>
    <w:rsid w:val="00243237"/>
    <w:rsid w:val="00243891"/>
    <w:rsid w:val="00246ED8"/>
    <w:rsid w:val="00254E88"/>
    <w:rsid w:val="002562C1"/>
    <w:rsid w:val="00257ED3"/>
    <w:rsid w:val="00263A65"/>
    <w:rsid w:val="00265CB5"/>
    <w:rsid w:val="00272F88"/>
    <w:rsid w:val="0027789F"/>
    <w:rsid w:val="00286E57"/>
    <w:rsid w:val="00287243"/>
    <w:rsid w:val="002900F4"/>
    <w:rsid w:val="00296165"/>
    <w:rsid w:val="00296755"/>
    <w:rsid w:val="002A09F9"/>
    <w:rsid w:val="002A0B31"/>
    <w:rsid w:val="002A2396"/>
    <w:rsid w:val="002A3818"/>
    <w:rsid w:val="002A5340"/>
    <w:rsid w:val="002A5969"/>
    <w:rsid w:val="002A787B"/>
    <w:rsid w:val="002B2383"/>
    <w:rsid w:val="002B46BD"/>
    <w:rsid w:val="002B49EA"/>
    <w:rsid w:val="002B6624"/>
    <w:rsid w:val="002B6729"/>
    <w:rsid w:val="002C1B3B"/>
    <w:rsid w:val="002C2A83"/>
    <w:rsid w:val="002C45B1"/>
    <w:rsid w:val="002D4CF7"/>
    <w:rsid w:val="002D5DC2"/>
    <w:rsid w:val="002D636A"/>
    <w:rsid w:val="002D7CCA"/>
    <w:rsid w:val="002F0281"/>
    <w:rsid w:val="002F24AE"/>
    <w:rsid w:val="002F3328"/>
    <w:rsid w:val="002F33D0"/>
    <w:rsid w:val="00303C4B"/>
    <w:rsid w:val="003048AE"/>
    <w:rsid w:val="0030597F"/>
    <w:rsid w:val="0030786A"/>
    <w:rsid w:val="00317ADF"/>
    <w:rsid w:val="0032085D"/>
    <w:rsid w:val="00326122"/>
    <w:rsid w:val="0032685A"/>
    <w:rsid w:val="00327947"/>
    <w:rsid w:val="00331AC6"/>
    <w:rsid w:val="00335A41"/>
    <w:rsid w:val="0034223A"/>
    <w:rsid w:val="00342B9F"/>
    <w:rsid w:val="00343A1C"/>
    <w:rsid w:val="00343F70"/>
    <w:rsid w:val="00347811"/>
    <w:rsid w:val="00351CD8"/>
    <w:rsid w:val="00355415"/>
    <w:rsid w:val="00355CC0"/>
    <w:rsid w:val="00356FDA"/>
    <w:rsid w:val="00361E21"/>
    <w:rsid w:val="00366573"/>
    <w:rsid w:val="00367F52"/>
    <w:rsid w:val="00370509"/>
    <w:rsid w:val="0037603A"/>
    <w:rsid w:val="00377BD5"/>
    <w:rsid w:val="00377EAF"/>
    <w:rsid w:val="00383DEC"/>
    <w:rsid w:val="00387372"/>
    <w:rsid w:val="003877B3"/>
    <w:rsid w:val="00390766"/>
    <w:rsid w:val="003913AC"/>
    <w:rsid w:val="00393CFE"/>
    <w:rsid w:val="00397A50"/>
    <w:rsid w:val="00397F23"/>
    <w:rsid w:val="003A18C1"/>
    <w:rsid w:val="003A5C63"/>
    <w:rsid w:val="003A5C6D"/>
    <w:rsid w:val="003B13CE"/>
    <w:rsid w:val="003B5E47"/>
    <w:rsid w:val="003C4522"/>
    <w:rsid w:val="003C4660"/>
    <w:rsid w:val="003D0CC3"/>
    <w:rsid w:val="003D14AF"/>
    <w:rsid w:val="003E04D4"/>
    <w:rsid w:val="003E55A8"/>
    <w:rsid w:val="003F0C90"/>
    <w:rsid w:val="003F33C0"/>
    <w:rsid w:val="003F7ED3"/>
    <w:rsid w:val="00403A69"/>
    <w:rsid w:val="0042673D"/>
    <w:rsid w:val="00433CD8"/>
    <w:rsid w:val="00437328"/>
    <w:rsid w:val="00442E90"/>
    <w:rsid w:val="0044371C"/>
    <w:rsid w:val="00444219"/>
    <w:rsid w:val="00445DCD"/>
    <w:rsid w:val="00445E50"/>
    <w:rsid w:val="00451806"/>
    <w:rsid w:val="00451D93"/>
    <w:rsid w:val="00460AC9"/>
    <w:rsid w:val="00460E08"/>
    <w:rsid w:val="004651E1"/>
    <w:rsid w:val="00467858"/>
    <w:rsid w:val="00470EEE"/>
    <w:rsid w:val="00474215"/>
    <w:rsid w:val="00477748"/>
    <w:rsid w:val="004779EA"/>
    <w:rsid w:val="004812A4"/>
    <w:rsid w:val="00482F2D"/>
    <w:rsid w:val="00483ACE"/>
    <w:rsid w:val="00485376"/>
    <w:rsid w:val="00487F37"/>
    <w:rsid w:val="00491300"/>
    <w:rsid w:val="00494FE1"/>
    <w:rsid w:val="00497C96"/>
    <w:rsid w:val="004A0464"/>
    <w:rsid w:val="004A0AAA"/>
    <w:rsid w:val="004A368F"/>
    <w:rsid w:val="004B2CA8"/>
    <w:rsid w:val="004B3695"/>
    <w:rsid w:val="004B5B28"/>
    <w:rsid w:val="004B77F4"/>
    <w:rsid w:val="004C141F"/>
    <w:rsid w:val="004C2198"/>
    <w:rsid w:val="004C2B0A"/>
    <w:rsid w:val="004C4FE1"/>
    <w:rsid w:val="004C5512"/>
    <w:rsid w:val="004E0435"/>
    <w:rsid w:val="004E291C"/>
    <w:rsid w:val="004E2F0C"/>
    <w:rsid w:val="004E4B44"/>
    <w:rsid w:val="004E5962"/>
    <w:rsid w:val="004F1424"/>
    <w:rsid w:val="004F60CD"/>
    <w:rsid w:val="00500F75"/>
    <w:rsid w:val="00502191"/>
    <w:rsid w:val="005049E6"/>
    <w:rsid w:val="00505655"/>
    <w:rsid w:val="0051180C"/>
    <w:rsid w:val="00515371"/>
    <w:rsid w:val="00515E71"/>
    <w:rsid w:val="00516C87"/>
    <w:rsid w:val="0052026A"/>
    <w:rsid w:val="0052123A"/>
    <w:rsid w:val="00522A10"/>
    <w:rsid w:val="005313F3"/>
    <w:rsid w:val="00551811"/>
    <w:rsid w:val="00560226"/>
    <w:rsid w:val="005605A8"/>
    <w:rsid w:val="00561123"/>
    <w:rsid w:val="00567136"/>
    <w:rsid w:val="00567231"/>
    <w:rsid w:val="00567E24"/>
    <w:rsid w:val="0057086D"/>
    <w:rsid w:val="0057434E"/>
    <w:rsid w:val="005746CB"/>
    <w:rsid w:val="005756F1"/>
    <w:rsid w:val="00576DAB"/>
    <w:rsid w:val="005805D9"/>
    <w:rsid w:val="0058580B"/>
    <w:rsid w:val="005865FF"/>
    <w:rsid w:val="00593306"/>
    <w:rsid w:val="00596E17"/>
    <w:rsid w:val="005A0AF1"/>
    <w:rsid w:val="005A186F"/>
    <w:rsid w:val="005A574E"/>
    <w:rsid w:val="005A58FF"/>
    <w:rsid w:val="005B153B"/>
    <w:rsid w:val="005B1F70"/>
    <w:rsid w:val="005B243B"/>
    <w:rsid w:val="005B5181"/>
    <w:rsid w:val="005B6054"/>
    <w:rsid w:val="005B79B4"/>
    <w:rsid w:val="005C129D"/>
    <w:rsid w:val="005C29B9"/>
    <w:rsid w:val="005C3365"/>
    <w:rsid w:val="005C59F9"/>
    <w:rsid w:val="005D6FFD"/>
    <w:rsid w:val="005E48D2"/>
    <w:rsid w:val="005E5056"/>
    <w:rsid w:val="005E545D"/>
    <w:rsid w:val="005F0870"/>
    <w:rsid w:val="005F4143"/>
    <w:rsid w:val="00603499"/>
    <w:rsid w:val="00604CBF"/>
    <w:rsid w:val="00605DB2"/>
    <w:rsid w:val="0061050D"/>
    <w:rsid w:val="00613EAA"/>
    <w:rsid w:val="006174E0"/>
    <w:rsid w:val="00617C54"/>
    <w:rsid w:val="0062071F"/>
    <w:rsid w:val="00627E32"/>
    <w:rsid w:val="00634746"/>
    <w:rsid w:val="00634D3D"/>
    <w:rsid w:val="00647117"/>
    <w:rsid w:val="00653F25"/>
    <w:rsid w:val="0066039F"/>
    <w:rsid w:val="00666EDF"/>
    <w:rsid w:val="0067364E"/>
    <w:rsid w:val="00673F09"/>
    <w:rsid w:val="006806FC"/>
    <w:rsid w:val="00684620"/>
    <w:rsid w:val="00684817"/>
    <w:rsid w:val="006908A2"/>
    <w:rsid w:val="00692538"/>
    <w:rsid w:val="00692EBE"/>
    <w:rsid w:val="006968B9"/>
    <w:rsid w:val="006A040D"/>
    <w:rsid w:val="006A13C2"/>
    <w:rsid w:val="006A2395"/>
    <w:rsid w:val="006A6CC8"/>
    <w:rsid w:val="006B4BCE"/>
    <w:rsid w:val="006B5279"/>
    <w:rsid w:val="006C248C"/>
    <w:rsid w:val="006D06A9"/>
    <w:rsid w:val="006D43E3"/>
    <w:rsid w:val="006D46C8"/>
    <w:rsid w:val="006D5737"/>
    <w:rsid w:val="006D5BB2"/>
    <w:rsid w:val="006E1745"/>
    <w:rsid w:val="006E27B0"/>
    <w:rsid w:val="006E33C0"/>
    <w:rsid w:val="006E508E"/>
    <w:rsid w:val="006F0D94"/>
    <w:rsid w:val="00702E7C"/>
    <w:rsid w:val="00705E90"/>
    <w:rsid w:val="0070712F"/>
    <w:rsid w:val="007120AF"/>
    <w:rsid w:val="007176F3"/>
    <w:rsid w:val="00721EFD"/>
    <w:rsid w:val="007325F2"/>
    <w:rsid w:val="007350F3"/>
    <w:rsid w:val="00740B91"/>
    <w:rsid w:val="00740E3A"/>
    <w:rsid w:val="00742B55"/>
    <w:rsid w:val="007444B8"/>
    <w:rsid w:val="007515C7"/>
    <w:rsid w:val="007543C7"/>
    <w:rsid w:val="00757830"/>
    <w:rsid w:val="00757FFC"/>
    <w:rsid w:val="00760D34"/>
    <w:rsid w:val="00762E3C"/>
    <w:rsid w:val="00764B48"/>
    <w:rsid w:val="00767D6B"/>
    <w:rsid w:val="00772345"/>
    <w:rsid w:val="00776698"/>
    <w:rsid w:val="00780AFF"/>
    <w:rsid w:val="00782284"/>
    <w:rsid w:val="00783F95"/>
    <w:rsid w:val="007A1870"/>
    <w:rsid w:val="007A1F35"/>
    <w:rsid w:val="007A25BB"/>
    <w:rsid w:val="007B0703"/>
    <w:rsid w:val="007B20ED"/>
    <w:rsid w:val="007B3B17"/>
    <w:rsid w:val="007B54DB"/>
    <w:rsid w:val="007B5EB3"/>
    <w:rsid w:val="007B663E"/>
    <w:rsid w:val="007C5E05"/>
    <w:rsid w:val="007C6536"/>
    <w:rsid w:val="007D567F"/>
    <w:rsid w:val="007D72E4"/>
    <w:rsid w:val="007F2685"/>
    <w:rsid w:val="007F3D7C"/>
    <w:rsid w:val="007F701C"/>
    <w:rsid w:val="007F7866"/>
    <w:rsid w:val="008048B7"/>
    <w:rsid w:val="00806B8A"/>
    <w:rsid w:val="00815BC5"/>
    <w:rsid w:val="008167D3"/>
    <w:rsid w:val="008260F7"/>
    <w:rsid w:val="0083137D"/>
    <w:rsid w:val="00832647"/>
    <w:rsid w:val="00833F3B"/>
    <w:rsid w:val="0083447A"/>
    <w:rsid w:val="00835DAE"/>
    <w:rsid w:val="00847CB7"/>
    <w:rsid w:val="00854D78"/>
    <w:rsid w:val="00861898"/>
    <w:rsid w:val="008628C3"/>
    <w:rsid w:val="00863D80"/>
    <w:rsid w:val="008715D9"/>
    <w:rsid w:val="008717F9"/>
    <w:rsid w:val="008760C2"/>
    <w:rsid w:val="00876F1F"/>
    <w:rsid w:val="008820A6"/>
    <w:rsid w:val="00890C95"/>
    <w:rsid w:val="008918AB"/>
    <w:rsid w:val="00892395"/>
    <w:rsid w:val="008961CD"/>
    <w:rsid w:val="008A498C"/>
    <w:rsid w:val="008A7EA0"/>
    <w:rsid w:val="008B0D97"/>
    <w:rsid w:val="008B0F61"/>
    <w:rsid w:val="008B2826"/>
    <w:rsid w:val="008B54B3"/>
    <w:rsid w:val="008B6611"/>
    <w:rsid w:val="008C1E99"/>
    <w:rsid w:val="008C2C29"/>
    <w:rsid w:val="008D03CC"/>
    <w:rsid w:val="008D2A84"/>
    <w:rsid w:val="008D5210"/>
    <w:rsid w:val="008D5421"/>
    <w:rsid w:val="008D5508"/>
    <w:rsid w:val="008D7A65"/>
    <w:rsid w:val="008E1882"/>
    <w:rsid w:val="008E2683"/>
    <w:rsid w:val="008E2A33"/>
    <w:rsid w:val="008E2A6D"/>
    <w:rsid w:val="008E3139"/>
    <w:rsid w:val="008E5CE4"/>
    <w:rsid w:val="008F06D5"/>
    <w:rsid w:val="008F2A4E"/>
    <w:rsid w:val="0090220C"/>
    <w:rsid w:val="0090251F"/>
    <w:rsid w:val="00904986"/>
    <w:rsid w:val="00907EC4"/>
    <w:rsid w:val="00916CE5"/>
    <w:rsid w:val="009244BC"/>
    <w:rsid w:val="00926C8B"/>
    <w:rsid w:val="00926DD9"/>
    <w:rsid w:val="00942C3D"/>
    <w:rsid w:val="00944B4D"/>
    <w:rsid w:val="0094585A"/>
    <w:rsid w:val="00945E0B"/>
    <w:rsid w:val="009512CA"/>
    <w:rsid w:val="009537DB"/>
    <w:rsid w:val="00954AB2"/>
    <w:rsid w:val="00955458"/>
    <w:rsid w:val="0096111E"/>
    <w:rsid w:val="009673D4"/>
    <w:rsid w:val="009731AB"/>
    <w:rsid w:val="00976EDF"/>
    <w:rsid w:val="00985A82"/>
    <w:rsid w:val="00987B82"/>
    <w:rsid w:val="009900F9"/>
    <w:rsid w:val="00990105"/>
    <w:rsid w:val="009A11D6"/>
    <w:rsid w:val="009A22D5"/>
    <w:rsid w:val="009A339E"/>
    <w:rsid w:val="009B101B"/>
    <w:rsid w:val="009B21D1"/>
    <w:rsid w:val="009B3D0F"/>
    <w:rsid w:val="009B740D"/>
    <w:rsid w:val="009C009D"/>
    <w:rsid w:val="009C1031"/>
    <w:rsid w:val="009C1E32"/>
    <w:rsid w:val="009D26B3"/>
    <w:rsid w:val="009D401A"/>
    <w:rsid w:val="009D7CAE"/>
    <w:rsid w:val="009E0244"/>
    <w:rsid w:val="009E046B"/>
    <w:rsid w:val="009E157B"/>
    <w:rsid w:val="009E3D9B"/>
    <w:rsid w:val="009E52D1"/>
    <w:rsid w:val="009E5859"/>
    <w:rsid w:val="009F0238"/>
    <w:rsid w:val="009F0363"/>
    <w:rsid w:val="009F55C5"/>
    <w:rsid w:val="00A00E43"/>
    <w:rsid w:val="00A01752"/>
    <w:rsid w:val="00A039FA"/>
    <w:rsid w:val="00A04A82"/>
    <w:rsid w:val="00A147A1"/>
    <w:rsid w:val="00A202DB"/>
    <w:rsid w:val="00A21CA2"/>
    <w:rsid w:val="00A41F0F"/>
    <w:rsid w:val="00A53F92"/>
    <w:rsid w:val="00A62669"/>
    <w:rsid w:val="00A657CD"/>
    <w:rsid w:val="00A673EE"/>
    <w:rsid w:val="00A773C9"/>
    <w:rsid w:val="00A816D6"/>
    <w:rsid w:val="00A84018"/>
    <w:rsid w:val="00A864C6"/>
    <w:rsid w:val="00A876FC"/>
    <w:rsid w:val="00A934F4"/>
    <w:rsid w:val="00A955CA"/>
    <w:rsid w:val="00A9624A"/>
    <w:rsid w:val="00AB6245"/>
    <w:rsid w:val="00AC30E1"/>
    <w:rsid w:val="00AD137F"/>
    <w:rsid w:val="00AE00EA"/>
    <w:rsid w:val="00AE0BDB"/>
    <w:rsid w:val="00AE0D3E"/>
    <w:rsid w:val="00AE12BE"/>
    <w:rsid w:val="00B01D28"/>
    <w:rsid w:val="00B07F04"/>
    <w:rsid w:val="00B13DF9"/>
    <w:rsid w:val="00B25E58"/>
    <w:rsid w:val="00B30A23"/>
    <w:rsid w:val="00B31EE9"/>
    <w:rsid w:val="00B352A3"/>
    <w:rsid w:val="00B352B9"/>
    <w:rsid w:val="00B411CD"/>
    <w:rsid w:val="00B45697"/>
    <w:rsid w:val="00B5250C"/>
    <w:rsid w:val="00B53C0E"/>
    <w:rsid w:val="00B53C7D"/>
    <w:rsid w:val="00B56287"/>
    <w:rsid w:val="00B65B95"/>
    <w:rsid w:val="00B70986"/>
    <w:rsid w:val="00B71187"/>
    <w:rsid w:val="00B72963"/>
    <w:rsid w:val="00B76127"/>
    <w:rsid w:val="00B76D26"/>
    <w:rsid w:val="00B95175"/>
    <w:rsid w:val="00B97F13"/>
    <w:rsid w:val="00BA5845"/>
    <w:rsid w:val="00BA58D1"/>
    <w:rsid w:val="00BA69DB"/>
    <w:rsid w:val="00BC0E91"/>
    <w:rsid w:val="00BC56C2"/>
    <w:rsid w:val="00BC6206"/>
    <w:rsid w:val="00BC7C11"/>
    <w:rsid w:val="00BD0309"/>
    <w:rsid w:val="00BE377C"/>
    <w:rsid w:val="00BF0737"/>
    <w:rsid w:val="00BF5382"/>
    <w:rsid w:val="00C00E9B"/>
    <w:rsid w:val="00C039AD"/>
    <w:rsid w:val="00C10849"/>
    <w:rsid w:val="00C10EC8"/>
    <w:rsid w:val="00C15E34"/>
    <w:rsid w:val="00C1668B"/>
    <w:rsid w:val="00C16C01"/>
    <w:rsid w:val="00C200A5"/>
    <w:rsid w:val="00C209F8"/>
    <w:rsid w:val="00C22550"/>
    <w:rsid w:val="00C30CF9"/>
    <w:rsid w:val="00C3551E"/>
    <w:rsid w:val="00C47736"/>
    <w:rsid w:val="00C5075D"/>
    <w:rsid w:val="00C51BA6"/>
    <w:rsid w:val="00C63647"/>
    <w:rsid w:val="00C662D7"/>
    <w:rsid w:val="00C679C4"/>
    <w:rsid w:val="00C724CC"/>
    <w:rsid w:val="00C74504"/>
    <w:rsid w:val="00C768FF"/>
    <w:rsid w:val="00C8262F"/>
    <w:rsid w:val="00C8596E"/>
    <w:rsid w:val="00C85E94"/>
    <w:rsid w:val="00C87051"/>
    <w:rsid w:val="00C9019A"/>
    <w:rsid w:val="00C914D3"/>
    <w:rsid w:val="00C91B60"/>
    <w:rsid w:val="00CA124E"/>
    <w:rsid w:val="00CA21C6"/>
    <w:rsid w:val="00CA5BAF"/>
    <w:rsid w:val="00CB048C"/>
    <w:rsid w:val="00CB239E"/>
    <w:rsid w:val="00CB4A94"/>
    <w:rsid w:val="00CC1CC8"/>
    <w:rsid w:val="00CC4FB1"/>
    <w:rsid w:val="00CC6AB5"/>
    <w:rsid w:val="00CD6289"/>
    <w:rsid w:val="00CD76F1"/>
    <w:rsid w:val="00CE051C"/>
    <w:rsid w:val="00CE0DF8"/>
    <w:rsid w:val="00CE61AF"/>
    <w:rsid w:val="00CF2DE8"/>
    <w:rsid w:val="00D03650"/>
    <w:rsid w:val="00D03CF3"/>
    <w:rsid w:val="00D073B4"/>
    <w:rsid w:val="00D10125"/>
    <w:rsid w:val="00D16B95"/>
    <w:rsid w:val="00D16CFD"/>
    <w:rsid w:val="00D2179B"/>
    <w:rsid w:val="00D23FDF"/>
    <w:rsid w:val="00D2495E"/>
    <w:rsid w:val="00D24AE6"/>
    <w:rsid w:val="00D25402"/>
    <w:rsid w:val="00D355B4"/>
    <w:rsid w:val="00D404F6"/>
    <w:rsid w:val="00D41A53"/>
    <w:rsid w:val="00D41AF9"/>
    <w:rsid w:val="00D4378B"/>
    <w:rsid w:val="00D4399E"/>
    <w:rsid w:val="00D44B7D"/>
    <w:rsid w:val="00D46BB3"/>
    <w:rsid w:val="00D55109"/>
    <w:rsid w:val="00D5773C"/>
    <w:rsid w:val="00D605F4"/>
    <w:rsid w:val="00D61B70"/>
    <w:rsid w:val="00D6266C"/>
    <w:rsid w:val="00D626BB"/>
    <w:rsid w:val="00D7106C"/>
    <w:rsid w:val="00D74004"/>
    <w:rsid w:val="00D74B8E"/>
    <w:rsid w:val="00D7632D"/>
    <w:rsid w:val="00D76AB8"/>
    <w:rsid w:val="00D85B9B"/>
    <w:rsid w:val="00D85D1D"/>
    <w:rsid w:val="00D96B99"/>
    <w:rsid w:val="00DA251E"/>
    <w:rsid w:val="00DA3817"/>
    <w:rsid w:val="00DA47FB"/>
    <w:rsid w:val="00DB2C47"/>
    <w:rsid w:val="00DB3895"/>
    <w:rsid w:val="00DB6079"/>
    <w:rsid w:val="00DB7E69"/>
    <w:rsid w:val="00DC2DDD"/>
    <w:rsid w:val="00DC2E72"/>
    <w:rsid w:val="00DC6B77"/>
    <w:rsid w:val="00DD3650"/>
    <w:rsid w:val="00DD3B51"/>
    <w:rsid w:val="00DD6646"/>
    <w:rsid w:val="00DE134C"/>
    <w:rsid w:val="00DE252F"/>
    <w:rsid w:val="00DE30A5"/>
    <w:rsid w:val="00DE53C2"/>
    <w:rsid w:val="00DF5D7A"/>
    <w:rsid w:val="00DF60A9"/>
    <w:rsid w:val="00DF7CB3"/>
    <w:rsid w:val="00E03F04"/>
    <w:rsid w:val="00E0745C"/>
    <w:rsid w:val="00E103CB"/>
    <w:rsid w:val="00E207E3"/>
    <w:rsid w:val="00E22E80"/>
    <w:rsid w:val="00E24860"/>
    <w:rsid w:val="00E25EFD"/>
    <w:rsid w:val="00E34B18"/>
    <w:rsid w:val="00E34D2F"/>
    <w:rsid w:val="00E403D4"/>
    <w:rsid w:val="00E42F79"/>
    <w:rsid w:val="00E51479"/>
    <w:rsid w:val="00E55E78"/>
    <w:rsid w:val="00E5703C"/>
    <w:rsid w:val="00E60473"/>
    <w:rsid w:val="00E61C64"/>
    <w:rsid w:val="00E622A5"/>
    <w:rsid w:val="00E64BDD"/>
    <w:rsid w:val="00E65273"/>
    <w:rsid w:val="00E677B3"/>
    <w:rsid w:val="00E67A24"/>
    <w:rsid w:val="00E75C48"/>
    <w:rsid w:val="00E77925"/>
    <w:rsid w:val="00E8158C"/>
    <w:rsid w:val="00E82DB7"/>
    <w:rsid w:val="00E97DC0"/>
    <w:rsid w:val="00EB2189"/>
    <w:rsid w:val="00EB3099"/>
    <w:rsid w:val="00EB7746"/>
    <w:rsid w:val="00ED4A88"/>
    <w:rsid w:val="00EE0574"/>
    <w:rsid w:val="00EE28DD"/>
    <w:rsid w:val="00EE458D"/>
    <w:rsid w:val="00EE686B"/>
    <w:rsid w:val="00EE6C4E"/>
    <w:rsid w:val="00EF1F54"/>
    <w:rsid w:val="00EF4265"/>
    <w:rsid w:val="00EF64A7"/>
    <w:rsid w:val="00F0211B"/>
    <w:rsid w:val="00F0559C"/>
    <w:rsid w:val="00F14331"/>
    <w:rsid w:val="00F1493B"/>
    <w:rsid w:val="00F15A4C"/>
    <w:rsid w:val="00F15E6B"/>
    <w:rsid w:val="00F206DD"/>
    <w:rsid w:val="00F223E5"/>
    <w:rsid w:val="00F229BF"/>
    <w:rsid w:val="00F243D6"/>
    <w:rsid w:val="00F26E4D"/>
    <w:rsid w:val="00F34C50"/>
    <w:rsid w:val="00F35259"/>
    <w:rsid w:val="00F37BBF"/>
    <w:rsid w:val="00F40AD2"/>
    <w:rsid w:val="00F515A3"/>
    <w:rsid w:val="00F543EB"/>
    <w:rsid w:val="00F553B6"/>
    <w:rsid w:val="00F57F2B"/>
    <w:rsid w:val="00F604C8"/>
    <w:rsid w:val="00F61349"/>
    <w:rsid w:val="00F67444"/>
    <w:rsid w:val="00F71A83"/>
    <w:rsid w:val="00F73828"/>
    <w:rsid w:val="00F747B2"/>
    <w:rsid w:val="00F76874"/>
    <w:rsid w:val="00F8122C"/>
    <w:rsid w:val="00F87057"/>
    <w:rsid w:val="00F95F53"/>
    <w:rsid w:val="00F978D5"/>
    <w:rsid w:val="00FB0A63"/>
    <w:rsid w:val="00FB609D"/>
    <w:rsid w:val="00FC0492"/>
    <w:rsid w:val="00FC0903"/>
    <w:rsid w:val="00FC3434"/>
    <w:rsid w:val="00FC4694"/>
    <w:rsid w:val="00FC47F1"/>
    <w:rsid w:val="00FD27F2"/>
    <w:rsid w:val="00FD3EDB"/>
    <w:rsid w:val="00FD4373"/>
    <w:rsid w:val="00FD6D2D"/>
    <w:rsid w:val="00FD6F3E"/>
    <w:rsid w:val="00FE004F"/>
    <w:rsid w:val="00FE0629"/>
    <w:rsid w:val="00FE076F"/>
    <w:rsid w:val="00FE0920"/>
    <w:rsid w:val="00FE6C06"/>
    <w:rsid w:val="00FF0AA0"/>
    <w:rsid w:val="00FF197E"/>
    <w:rsid w:val="00FF4B29"/>
    <w:rsid w:val="00FF6129"/>
    <w:rsid w:val="01D90525"/>
    <w:rsid w:val="04BA16FE"/>
    <w:rsid w:val="0AF846D1"/>
    <w:rsid w:val="0D5E5AEC"/>
    <w:rsid w:val="178C3D3A"/>
    <w:rsid w:val="1B290FC4"/>
    <w:rsid w:val="1E4E3AB1"/>
    <w:rsid w:val="201F2192"/>
    <w:rsid w:val="22B26DF6"/>
    <w:rsid w:val="25EF5C76"/>
    <w:rsid w:val="2C953639"/>
    <w:rsid w:val="2D5A13F9"/>
    <w:rsid w:val="31073DF5"/>
    <w:rsid w:val="32020C50"/>
    <w:rsid w:val="32DC56F3"/>
    <w:rsid w:val="391B3F10"/>
    <w:rsid w:val="3B11332D"/>
    <w:rsid w:val="3EAC4C3C"/>
    <w:rsid w:val="445A1AAE"/>
    <w:rsid w:val="49A61E27"/>
    <w:rsid w:val="4B680FFC"/>
    <w:rsid w:val="4C067667"/>
    <w:rsid w:val="4D3B0E40"/>
    <w:rsid w:val="51ED38B2"/>
    <w:rsid w:val="58845C43"/>
    <w:rsid w:val="59086B67"/>
    <w:rsid w:val="5CB82A84"/>
    <w:rsid w:val="61301D3A"/>
    <w:rsid w:val="69034884"/>
    <w:rsid w:val="6B6B12A0"/>
    <w:rsid w:val="6BD56EC8"/>
    <w:rsid w:val="796E7CD8"/>
    <w:rsid w:val="79B23579"/>
    <w:rsid w:val="7A2110D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Calibri" w:hAnsi="Calibri" w:eastAsia="宋体" w:cs="Times New Roman"/>
      <w:kern w:val="2"/>
      <w:sz w:val="21"/>
      <w:szCs w:val="22"/>
      <w:lang w:val="en-US" w:eastAsia="zh-CN" w:bidi="ar-SA"/>
    </w:rPr>
  </w:style>
  <w:style w:type="paragraph" w:styleId="5">
    <w:name w:val="heading 1"/>
    <w:basedOn w:val="1"/>
    <w:next w:val="1"/>
    <w:link w:val="31"/>
    <w:qFormat/>
    <w:uiPriority w:val="9"/>
    <w:pPr>
      <w:numPr>
        <w:ilvl w:val="0"/>
        <w:numId w:val="1"/>
      </w:numPr>
      <w:spacing w:before="100" w:beforeLines="100" w:after="100" w:afterLines="100"/>
      <w:outlineLvl w:val="0"/>
    </w:pPr>
    <w:rPr>
      <w:rFonts w:eastAsia="黑体"/>
      <w:bCs/>
      <w:kern w:val="44"/>
      <w:sz w:val="36"/>
      <w:szCs w:val="44"/>
    </w:rPr>
  </w:style>
  <w:style w:type="paragraph" w:styleId="6">
    <w:name w:val="heading 2"/>
    <w:basedOn w:val="1"/>
    <w:next w:val="1"/>
    <w:link w:val="32"/>
    <w:unhideWhenUsed/>
    <w:qFormat/>
    <w:uiPriority w:val="9"/>
    <w:pPr>
      <w:numPr>
        <w:ilvl w:val="1"/>
        <w:numId w:val="1"/>
      </w:numPr>
      <w:spacing w:before="100" w:beforeLines="100" w:after="100" w:afterLines="100"/>
      <w:outlineLvl w:val="1"/>
    </w:pPr>
    <w:rPr>
      <w:rFonts w:ascii="黑体" w:hAnsi="Cambria" w:eastAsia="黑体"/>
      <w:bCs/>
      <w:sz w:val="32"/>
      <w:szCs w:val="32"/>
    </w:rPr>
  </w:style>
  <w:style w:type="paragraph" w:styleId="7">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pPr>
      <w:ind w:firstLine="420"/>
    </w:pPr>
  </w:style>
  <w:style w:type="paragraph" w:styleId="3">
    <w:name w:val="Body Text Indent"/>
    <w:basedOn w:val="1"/>
    <w:next w:val="4"/>
    <w:qFormat/>
    <w:uiPriority w:val="0"/>
    <w:pPr>
      <w:widowControl/>
      <w:adjustRightInd w:val="0"/>
      <w:spacing w:after="120"/>
      <w:ind w:left="420" w:leftChars="200"/>
    </w:pPr>
    <w:rPr>
      <w:rFonts w:ascii="Calibri" w:hAnsi="Calibri"/>
      <w:sz w:val="20"/>
      <w:lang w:val="zh-CN" w:bidi="en-US"/>
    </w:rPr>
  </w:style>
  <w:style w:type="paragraph" w:styleId="4">
    <w:name w:val="envelope return"/>
    <w:basedOn w:val="1"/>
    <w:unhideWhenUsed/>
    <w:qFormat/>
    <w:uiPriority w:val="99"/>
    <w:pPr>
      <w:snapToGrid w:val="0"/>
    </w:pPr>
    <w:rPr>
      <w:rFonts w:ascii="Arial" w:hAnsi="Arial"/>
    </w:rPr>
  </w:style>
  <w:style w:type="paragraph" w:styleId="8">
    <w:name w:val="Normal Indent"/>
    <w:basedOn w:val="1"/>
    <w:qFormat/>
    <w:uiPriority w:val="0"/>
    <w:pPr>
      <w:ind w:firstLine="420" w:firstLineChars="200"/>
    </w:pPr>
  </w:style>
  <w:style w:type="paragraph" w:styleId="9">
    <w:name w:val="caption"/>
    <w:basedOn w:val="1"/>
    <w:next w:val="1"/>
    <w:link w:val="40"/>
    <w:unhideWhenUsed/>
    <w:qFormat/>
    <w:uiPriority w:val="35"/>
    <w:rPr>
      <w:rFonts w:ascii="Cambria" w:hAnsi="Cambria" w:eastAsia="黑体"/>
      <w:sz w:val="20"/>
      <w:szCs w:val="20"/>
    </w:rPr>
  </w:style>
  <w:style w:type="paragraph" w:styleId="10">
    <w:name w:val="annotation text"/>
    <w:basedOn w:val="1"/>
    <w:qFormat/>
    <w:uiPriority w:val="0"/>
    <w:pPr>
      <w:jc w:val="left"/>
    </w:pPr>
    <w:rPr>
      <w:szCs w:val="24"/>
    </w:rPr>
  </w:style>
  <w:style w:type="paragraph" w:styleId="11">
    <w:name w:val="Body Text"/>
    <w:basedOn w:val="1"/>
    <w:next w:val="10"/>
    <w:qFormat/>
    <w:uiPriority w:val="0"/>
    <w:pPr>
      <w:spacing w:after="120"/>
    </w:pPr>
  </w:style>
  <w:style w:type="paragraph" w:styleId="12">
    <w:name w:val="Date"/>
    <w:basedOn w:val="1"/>
    <w:next w:val="1"/>
    <w:link w:val="35"/>
    <w:semiHidden/>
    <w:unhideWhenUsed/>
    <w:qFormat/>
    <w:uiPriority w:val="99"/>
    <w:pPr>
      <w:ind w:left="100" w:leftChars="2500"/>
    </w:pPr>
  </w:style>
  <w:style w:type="paragraph" w:styleId="13">
    <w:name w:val="Body Text Indent 2"/>
    <w:basedOn w:val="1"/>
    <w:qFormat/>
    <w:uiPriority w:val="0"/>
    <w:pPr>
      <w:spacing w:after="120" w:afterLines="0" w:afterAutospacing="0" w:line="480" w:lineRule="auto"/>
      <w:ind w:left="420" w:leftChars="200"/>
    </w:pPr>
  </w:style>
  <w:style w:type="paragraph" w:styleId="14">
    <w:name w:val="Balloon Text"/>
    <w:basedOn w:val="1"/>
    <w:link w:val="30"/>
    <w:semiHidden/>
    <w:unhideWhenUsed/>
    <w:qFormat/>
    <w:uiPriority w:val="99"/>
    <w:rPr>
      <w:sz w:val="18"/>
      <w:szCs w:val="18"/>
    </w:rPr>
  </w:style>
  <w:style w:type="paragraph" w:styleId="15">
    <w:name w:val="footer"/>
    <w:basedOn w:val="1"/>
    <w:next w:val="1"/>
    <w:link w:val="27"/>
    <w:unhideWhenUsed/>
    <w:qFormat/>
    <w:uiPriority w:val="99"/>
    <w:pPr>
      <w:tabs>
        <w:tab w:val="center" w:pos="4153"/>
        <w:tab w:val="right" w:pos="8306"/>
      </w:tabs>
      <w:snapToGrid w:val="0"/>
      <w:jc w:val="left"/>
    </w:pPr>
    <w:rPr>
      <w:sz w:val="18"/>
      <w:szCs w:val="18"/>
    </w:rPr>
  </w:style>
  <w:style w:type="paragraph" w:styleId="16">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line="360" w:lineRule="auto"/>
    </w:pPr>
    <w:rPr>
      <w:rFonts w:ascii="Times New Roman" w:hAnsi="Times New Roman" w:eastAsia="黑体"/>
      <w:sz w:val="28"/>
    </w:rPr>
  </w:style>
  <w:style w:type="paragraph" w:styleId="18">
    <w:name w:val="table of figures"/>
    <w:basedOn w:val="1"/>
    <w:next w:val="1"/>
    <w:semiHidden/>
    <w:unhideWhenUsed/>
    <w:qFormat/>
    <w:uiPriority w:val="99"/>
    <w:pPr>
      <w:ind w:left="200" w:leftChars="200" w:hanging="200" w:hangingChars="200"/>
    </w:pPr>
  </w:style>
  <w:style w:type="paragraph" w:styleId="19">
    <w:name w:val="toc 2"/>
    <w:basedOn w:val="1"/>
    <w:next w:val="1"/>
    <w:unhideWhenUsed/>
    <w:qFormat/>
    <w:uiPriority w:val="39"/>
    <w:pPr>
      <w:spacing w:line="360" w:lineRule="auto"/>
      <w:ind w:left="200" w:leftChars="200"/>
    </w:pPr>
    <w:rPr>
      <w:rFonts w:ascii="Times New Roman" w:hAnsi="Times New Roman" w:eastAsia="黑体"/>
      <w:sz w:val="28"/>
    </w:rPr>
  </w:style>
  <w:style w:type="paragraph" w:styleId="20">
    <w:name w:val="Normal (Web)"/>
    <w:basedOn w:val="1"/>
    <w:unhideWhenUsed/>
    <w:qFormat/>
    <w:uiPriority w:val="99"/>
    <w:rPr>
      <w:rFonts w:ascii="Times New Roman" w:hAnsi="Times New Roman"/>
      <w:sz w:val="24"/>
      <w:szCs w:val="24"/>
    </w:rPr>
  </w:style>
  <w:style w:type="paragraph" w:styleId="21">
    <w:name w:val="Title"/>
    <w:basedOn w:val="1"/>
    <w:next w:val="1"/>
    <w:link w:val="28"/>
    <w:qFormat/>
    <w:uiPriority w:val="10"/>
    <w:pPr>
      <w:spacing w:before="240" w:after="60"/>
      <w:jc w:val="center"/>
      <w:outlineLvl w:val="0"/>
    </w:pPr>
    <w:rPr>
      <w:rFonts w:ascii="Cambria" w:hAnsi="Cambria"/>
      <w:b/>
      <w:bCs/>
      <w:sz w:val="32"/>
      <w:szCs w:val="32"/>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unhideWhenUsed/>
    <w:qFormat/>
    <w:uiPriority w:val="99"/>
    <w:rPr>
      <w:color w:val="0000FF"/>
      <w:u w:val="single"/>
    </w:rPr>
  </w:style>
  <w:style w:type="character" w:customStyle="1" w:styleId="26">
    <w:name w:val="页眉 字符"/>
    <w:link w:val="16"/>
    <w:qFormat/>
    <w:uiPriority w:val="99"/>
    <w:rPr>
      <w:sz w:val="18"/>
      <w:szCs w:val="18"/>
    </w:rPr>
  </w:style>
  <w:style w:type="character" w:customStyle="1" w:styleId="27">
    <w:name w:val="页脚 字符"/>
    <w:link w:val="15"/>
    <w:qFormat/>
    <w:uiPriority w:val="99"/>
    <w:rPr>
      <w:sz w:val="18"/>
      <w:szCs w:val="18"/>
    </w:rPr>
  </w:style>
  <w:style w:type="character" w:customStyle="1" w:styleId="28">
    <w:name w:val="标题 字符"/>
    <w:link w:val="21"/>
    <w:qFormat/>
    <w:uiPriority w:val="10"/>
    <w:rPr>
      <w:rFonts w:ascii="Cambria" w:hAnsi="Cambria" w:eastAsia="宋体" w:cs="Times New Roman"/>
      <w:b/>
      <w:bCs/>
      <w:sz w:val="32"/>
      <w:szCs w:val="32"/>
    </w:rPr>
  </w:style>
  <w:style w:type="paragraph" w:styleId="29">
    <w:name w:val="List Paragraph"/>
    <w:basedOn w:val="1"/>
    <w:qFormat/>
    <w:uiPriority w:val="34"/>
    <w:pPr>
      <w:ind w:firstLine="420" w:firstLineChars="200"/>
    </w:pPr>
  </w:style>
  <w:style w:type="character" w:customStyle="1" w:styleId="30">
    <w:name w:val="批注框文本 字符"/>
    <w:link w:val="14"/>
    <w:semiHidden/>
    <w:qFormat/>
    <w:uiPriority w:val="99"/>
    <w:rPr>
      <w:sz w:val="18"/>
      <w:szCs w:val="18"/>
    </w:rPr>
  </w:style>
  <w:style w:type="character" w:customStyle="1" w:styleId="31">
    <w:name w:val="标题 1 字符"/>
    <w:link w:val="5"/>
    <w:qFormat/>
    <w:uiPriority w:val="9"/>
    <w:rPr>
      <w:rFonts w:eastAsia="黑体"/>
      <w:bCs/>
      <w:kern w:val="44"/>
      <w:sz w:val="36"/>
      <w:szCs w:val="44"/>
    </w:rPr>
  </w:style>
  <w:style w:type="character" w:customStyle="1" w:styleId="32">
    <w:name w:val="标题 2 字符"/>
    <w:link w:val="6"/>
    <w:qFormat/>
    <w:uiPriority w:val="9"/>
    <w:rPr>
      <w:rFonts w:ascii="黑体" w:hAnsi="Cambria" w:eastAsia="黑体" w:cs="Times New Roman"/>
      <w:bCs/>
      <w:kern w:val="2"/>
      <w:sz w:val="32"/>
      <w:szCs w:val="32"/>
    </w:rPr>
  </w:style>
  <w:style w:type="character" w:customStyle="1" w:styleId="33">
    <w:name w:val="标题 3 字符"/>
    <w:link w:val="7"/>
    <w:qFormat/>
    <w:uiPriority w:val="9"/>
    <w:rPr>
      <w:b/>
      <w:bCs/>
      <w:sz w:val="32"/>
      <w:szCs w:val="32"/>
    </w:rPr>
  </w:style>
  <w:style w:type="paragraph" w:customStyle="1" w:styleId="34">
    <w:name w:val="TOC 标题1"/>
    <w:basedOn w:val="5"/>
    <w:next w:val="1"/>
    <w:semiHidden/>
    <w:unhideWhenUsed/>
    <w:qFormat/>
    <w:uiPriority w:val="39"/>
    <w:pPr>
      <w:widowControl/>
      <w:spacing w:before="480" w:after="0" w:line="276" w:lineRule="auto"/>
      <w:jc w:val="left"/>
      <w:outlineLvl w:val="9"/>
    </w:pPr>
    <w:rPr>
      <w:rFonts w:ascii="Cambria" w:hAnsi="Cambria" w:eastAsia="宋体"/>
      <w:color w:val="365F91"/>
      <w:kern w:val="0"/>
      <w:sz w:val="28"/>
      <w:szCs w:val="28"/>
    </w:rPr>
  </w:style>
  <w:style w:type="character" w:customStyle="1" w:styleId="35">
    <w:name w:val="日期 字符"/>
    <w:basedOn w:val="24"/>
    <w:link w:val="12"/>
    <w:semiHidden/>
    <w:qFormat/>
    <w:uiPriority w:val="99"/>
  </w:style>
  <w:style w:type="character" w:customStyle="1" w:styleId="36">
    <w:name w:val="未处理的提及1"/>
    <w:semiHidden/>
    <w:unhideWhenUsed/>
    <w:qFormat/>
    <w:uiPriority w:val="99"/>
    <w:rPr>
      <w:color w:val="605E5C"/>
      <w:shd w:val="clear" w:color="auto" w:fill="E1DFDD"/>
    </w:rPr>
  </w:style>
  <w:style w:type="paragraph" w:customStyle="1" w:styleId="37">
    <w:name w:val="正"/>
    <w:basedOn w:val="1"/>
    <w:link w:val="39"/>
    <w:qFormat/>
    <w:uiPriority w:val="0"/>
    <w:pPr>
      <w:spacing w:line="360" w:lineRule="auto"/>
      <w:ind w:firstLine="560" w:firstLineChars="200"/>
    </w:pPr>
    <w:rPr>
      <w:rFonts w:ascii="仿宋" w:hAnsi="仿宋" w:eastAsia="仿宋"/>
      <w:sz w:val="28"/>
      <w:szCs w:val="28"/>
    </w:rPr>
  </w:style>
  <w:style w:type="paragraph" w:customStyle="1" w:styleId="38">
    <w:name w:val="图题"/>
    <w:basedOn w:val="9"/>
    <w:link w:val="41"/>
    <w:qFormat/>
    <w:uiPriority w:val="0"/>
    <w:pPr>
      <w:spacing w:line="360" w:lineRule="auto"/>
      <w:jc w:val="center"/>
    </w:pPr>
    <w:rPr>
      <w:rFonts w:ascii="Times New Roman" w:hAnsi="Times New Roman" w:eastAsia="仿宋"/>
      <w:b/>
      <w:sz w:val="21"/>
      <w:szCs w:val="24"/>
    </w:rPr>
  </w:style>
  <w:style w:type="character" w:customStyle="1" w:styleId="39">
    <w:name w:val="正 字符"/>
    <w:link w:val="37"/>
    <w:qFormat/>
    <w:uiPriority w:val="0"/>
    <w:rPr>
      <w:rFonts w:ascii="仿宋" w:hAnsi="仿宋" w:eastAsia="仿宋"/>
      <w:kern w:val="2"/>
      <w:sz w:val="28"/>
      <w:szCs w:val="28"/>
    </w:rPr>
  </w:style>
  <w:style w:type="character" w:customStyle="1" w:styleId="40">
    <w:name w:val="题注 字符"/>
    <w:link w:val="9"/>
    <w:qFormat/>
    <w:uiPriority w:val="35"/>
    <w:rPr>
      <w:rFonts w:ascii="Cambria" w:hAnsi="Cambria" w:eastAsia="黑体" w:cs="Times New Roman"/>
      <w:kern w:val="2"/>
    </w:rPr>
  </w:style>
  <w:style w:type="character" w:customStyle="1" w:styleId="41">
    <w:name w:val="图题 字符"/>
    <w:link w:val="38"/>
    <w:qFormat/>
    <w:uiPriority w:val="0"/>
    <w:rPr>
      <w:rFonts w:ascii="Times New Roman" w:hAnsi="Times New Roman" w:eastAsia="仿宋" w:cs="Times New Roman"/>
      <w:b/>
      <w:kern w:val="2"/>
      <w:sz w:val="21"/>
      <w:szCs w:val="24"/>
    </w:rPr>
  </w:style>
  <w:style w:type="paragraph" w:customStyle="1" w:styleId="42">
    <w:name w:val="图片"/>
    <w:basedOn w:val="1"/>
    <w:link w:val="43"/>
    <w:qFormat/>
    <w:uiPriority w:val="0"/>
    <w:pPr>
      <w:jc w:val="center"/>
    </w:pPr>
  </w:style>
  <w:style w:type="character" w:customStyle="1" w:styleId="43">
    <w:name w:val="图片 字符"/>
    <w:link w:val="42"/>
    <w:qFormat/>
    <w:uiPriority w:val="0"/>
    <w:rPr>
      <w:kern w:val="2"/>
      <w:sz w:val="21"/>
      <w:szCs w:val="22"/>
    </w:rPr>
  </w:style>
  <w:style w:type="character" w:customStyle="1" w:styleId="44">
    <w:name w:val="正文文本 (2)_"/>
    <w:basedOn w:val="24"/>
    <w:link w:val="45"/>
    <w:unhideWhenUsed/>
    <w:qFormat/>
    <w:locked/>
    <w:uiPriority w:val="99"/>
    <w:rPr>
      <w:rFonts w:ascii="宋体" w:eastAsia="宋体"/>
      <w:b/>
      <w:lang w:val="zh-CN" w:eastAsia="zh-CN"/>
    </w:rPr>
  </w:style>
  <w:style w:type="paragraph" w:customStyle="1" w:styleId="45">
    <w:name w:val="正文文本 (2)"/>
    <w:basedOn w:val="1"/>
    <w:link w:val="44"/>
    <w:unhideWhenUsed/>
    <w:qFormat/>
    <w:uiPriority w:val="99"/>
    <w:pPr>
      <w:shd w:val="clear" w:color="auto" w:fill="FFFFFF"/>
      <w:spacing w:after="760"/>
      <w:ind w:firstLine="780"/>
    </w:pPr>
    <w:rPr>
      <w:rFonts w:ascii="宋体" w:eastAsia="宋体"/>
      <w:b/>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jpeg"/><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43.jpeg"/><Relationship Id="rId5" Type="http://schemas.openxmlformats.org/officeDocument/2006/relationships/theme" Target="theme/theme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pn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pn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footer" Target="footer2.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jpeg"/><Relationship Id="rId35" Type="http://schemas.openxmlformats.org/officeDocument/2006/relationships/image" Target="media/image28.jpeg"/><Relationship Id="rId34" Type="http://schemas.openxmlformats.org/officeDocument/2006/relationships/image" Target="media/image27.png"/><Relationship Id="rId33" Type="http://schemas.openxmlformats.org/officeDocument/2006/relationships/image" Target="file:///E:\976828564\Image\C2C\Image1\82B9A97B8EE55769EE58C0DED850C291.png" TargetMode="External"/><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E50B0C-0C7B-4D99-9588-2C0C655ABA9F}">
  <ds:schemaRefs/>
</ds:datastoreItem>
</file>

<file path=docProps/app.xml><?xml version="1.0" encoding="utf-8"?>
<Properties xmlns="http://schemas.openxmlformats.org/officeDocument/2006/extended-properties" xmlns:vt="http://schemas.openxmlformats.org/officeDocument/2006/docPropsVTypes">
  <Template>Normal</Template>
  <Pages>39</Pages>
  <Words>15754</Words>
  <Characters>16138</Characters>
  <Lines>160</Lines>
  <Paragraphs>45</Paragraphs>
  <TotalTime>5</TotalTime>
  <ScaleCrop>false</ScaleCrop>
  <LinksUpToDate>false</LinksUpToDate>
  <CharactersWithSpaces>16215</CharactersWithSpaces>
  <Application>WPS Office_11.8.2.10260_F1E327BC-269C-435d-A152-05C5408002CA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2020-02-21T03:11:00Z</dcterms:created>
  <dc:creator>PC</dc:creator>
  <cp:lastModifiedBy> </cp:lastModifiedBy>
  <cp:lastPrinted>2019-01-24T01:29:00Z</cp:lastPrinted>
  <dcterms:modified xsi:type="dcterms:W3CDTF">2022-09-21T08:43:19Z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2052-11.8.2.10260</vt:lpwstr>
  </property>
  <property fmtid="{D5CDD505-2E9C-101B-9397-08002B2CF9AE}" pid="3" name="ICV">
    <vt:lpwstr>2FD6F888CB8E4BACBD4EC066ACEEEC90</vt:lpwstr>
  </property>
</Properties>
</file>