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28"/>
          <w:szCs w:val="28"/>
          <w:highlight w:val="none"/>
        </w:rPr>
      </w:pPr>
      <w:bookmarkStart w:id="0" w:name="_Hlk32949940"/>
      <w:bookmarkEnd w:id="0"/>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textAlignment w:val="center"/>
        <w:rPr>
          <w:rFonts w:ascii="宋体" w:hAnsi="宋体"/>
          <w:sz w:val="36"/>
          <w:szCs w:val="36"/>
          <w:highlight w:val="none"/>
        </w:rPr>
      </w:pPr>
      <w:r>
        <w:rPr>
          <w:rFonts w:ascii="宋体" w:hAnsi="宋体"/>
          <w:sz w:val="36"/>
          <w:szCs w:val="36"/>
          <w:highlight w:val="none"/>
        </w:rPr>
        <w:drawing>
          <wp:inline distT="0" distB="0" distL="0" distR="0">
            <wp:extent cx="678180" cy="693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78180" cy="693420"/>
                    </a:xfrm>
                    <a:prstGeom prst="rect">
                      <a:avLst/>
                    </a:prstGeom>
                    <a:noFill/>
                    <a:ln>
                      <a:noFill/>
                    </a:ln>
                  </pic:spPr>
                </pic:pic>
              </a:graphicData>
            </a:graphic>
          </wp:inline>
        </w:drawing>
      </w:r>
      <w:bookmarkStart w:id="1" w:name="_Toc534901950"/>
      <w:r>
        <w:rPr>
          <w:rFonts w:hint="eastAsia" w:ascii="黑体" w:hAnsi="黑体" w:eastAsia="黑体" w:cs="黑体"/>
          <w:sz w:val="36"/>
          <w:szCs w:val="36"/>
          <w:highlight w:val="none"/>
        </w:rPr>
        <w:t>安徽皖能环保发电有限公司</w:t>
      </w:r>
      <w:bookmarkEnd w:id="1"/>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楷体" w:hAnsi="楷体" w:eastAsia="楷体" w:cs="黑体"/>
          <w:b/>
          <w:bCs/>
          <w:sz w:val="84"/>
          <w:szCs w:val="84"/>
          <w:highlight w:val="none"/>
        </w:rPr>
      </w:pPr>
      <w:r>
        <w:rPr>
          <w:rFonts w:hint="eastAsia" w:ascii="楷体" w:hAnsi="楷体" w:eastAsia="楷体" w:cs="黑体"/>
          <w:b/>
          <w:bCs/>
          <w:sz w:val="84"/>
          <w:szCs w:val="84"/>
          <w:highlight w:val="none"/>
        </w:rPr>
        <w:t>20</w:t>
      </w:r>
      <w:r>
        <w:rPr>
          <w:rFonts w:hint="eastAsia" w:ascii="楷体" w:hAnsi="楷体" w:eastAsia="楷体" w:cs="黑体"/>
          <w:b/>
          <w:bCs/>
          <w:sz w:val="84"/>
          <w:szCs w:val="84"/>
          <w:highlight w:val="none"/>
          <w:lang w:val="en-US" w:eastAsia="zh-CN"/>
        </w:rPr>
        <w:t>20</w:t>
      </w:r>
      <w:r>
        <w:rPr>
          <w:rFonts w:hint="eastAsia" w:ascii="楷体" w:hAnsi="楷体" w:eastAsia="楷体" w:cs="黑体"/>
          <w:b/>
          <w:bCs/>
          <w:sz w:val="84"/>
          <w:szCs w:val="84"/>
          <w:highlight w:val="none"/>
        </w:rPr>
        <w:t>年社会责任报告</w:t>
      </w: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Times New Roman" w:hAnsi="Times New Roman" w:eastAsia="黑体"/>
          <w:sz w:val="36"/>
          <w:szCs w:val="36"/>
          <w:highlight w:val="none"/>
        </w:rPr>
      </w:pPr>
      <w:r>
        <w:rPr>
          <w:rFonts w:hint="eastAsia" w:ascii="Times New Roman" w:hAnsi="Times New Roman" w:eastAsia="黑体"/>
          <w:sz w:val="36"/>
          <w:szCs w:val="36"/>
          <w:highlight w:val="none"/>
        </w:rPr>
        <w:t>二〇二</w:t>
      </w:r>
      <w:r>
        <w:rPr>
          <w:rFonts w:hint="eastAsia" w:ascii="Times New Roman" w:hAnsi="Times New Roman" w:eastAsia="黑体"/>
          <w:sz w:val="36"/>
          <w:szCs w:val="36"/>
          <w:highlight w:val="none"/>
          <w:lang w:eastAsia="zh-CN"/>
        </w:rPr>
        <w:t>一</w:t>
      </w:r>
      <w:r>
        <w:rPr>
          <w:rFonts w:ascii="Times New Roman" w:hAnsi="Times New Roman" w:eastAsia="黑体"/>
          <w:sz w:val="36"/>
          <w:szCs w:val="36"/>
          <w:highlight w:val="none"/>
        </w:rPr>
        <w:t>年</w:t>
      </w:r>
      <w:r>
        <w:rPr>
          <w:rFonts w:hint="eastAsia" w:ascii="Times New Roman" w:hAnsi="Times New Roman" w:eastAsia="黑体"/>
          <w:sz w:val="36"/>
          <w:szCs w:val="36"/>
          <w:highlight w:val="none"/>
        </w:rPr>
        <w:t>一</w:t>
      </w:r>
      <w:r>
        <w:rPr>
          <w:rFonts w:ascii="Times New Roman" w:hAnsi="Times New Roman" w:eastAsia="黑体"/>
          <w:sz w:val="36"/>
          <w:szCs w:val="36"/>
          <w:highlight w:val="none"/>
        </w:rPr>
        <w:t>月</w:t>
      </w:r>
    </w:p>
    <w:p>
      <w:pPr>
        <w:jc w:val="center"/>
        <w:rPr>
          <w:highlight w:val="none"/>
        </w:rPr>
        <w:sectPr>
          <w:pgSz w:w="11906" w:h="16838"/>
          <w:pgMar w:top="1440" w:right="1800" w:bottom="1440" w:left="1800" w:header="851" w:footer="992" w:gutter="0"/>
          <w:pgNumType w:start="1"/>
          <w:cols w:space="425" w:num="1"/>
          <w:docGrid w:linePitch="312" w:charSpace="0"/>
        </w:sectPr>
      </w:pPr>
    </w:p>
    <w:p>
      <w:pPr>
        <w:autoSpaceDE w:val="0"/>
        <w:autoSpaceDN w:val="0"/>
        <w:spacing w:line="360" w:lineRule="auto"/>
        <w:jc w:val="left"/>
        <w:rPr>
          <w:rFonts w:ascii="黑体" w:hAnsi="黑体" w:eastAsia="黑体" w:cs="黑体"/>
          <w:bCs/>
          <w:kern w:val="0"/>
          <w:sz w:val="28"/>
          <w:szCs w:val="28"/>
          <w:highlight w:val="none"/>
        </w:rPr>
      </w:pPr>
    </w:p>
    <w:p>
      <w:pPr>
        <w:autoSpaceDE w:val="0"/>
        <w:autoSpaceDN w:val="0"/>
        <w:spacing w:line="360" w:lineRule="auto"/>
        <w:jc w:val="left"/>
        <w:rPr>
          <w:rFonts w:ascii="黑体" w:hAnsi="黑体" w:eastAsia="黑体" w:cs="黑体"/>
          <w:bCs/>
          <w:kern w:val="0"/>
          <w:sz w:val="28"/>
          <w:szCs w:val="28"/>
          <w:highlight w:val="none"/>
        </w:rPr>
      </w:pPr>
    </w:p>
    <w:p>
      <w:pPr>
        <w:autoSpaceDE w:val="0"/>
        <w:autoSpaceDN w:val="0"/>
        <w:spacing w:line="360" w:lineRule="auto"/>
        <w:jc w:val="left"/>
        <w:rPr>
          <w:rFonts w:ascii="黑体" w:hAnsi="黑体" w:eastAsia="黑体" w:cs="黑体"/>
          <w:bCs/>
          <w:kern w:val="0"/>
          <w:sz w:val="28"/>
          <w:szCs w:val="28"/>
          <w:highlight w:val="none"/>
        </w:rPr>
      </w:pPr>
    </w:p>
    <w:p>
      <w:pPr>
        <w:autoSpaceDE w:val="0"/>
        <w:autoSpaceDN w:val="0"/>
        <w:spacing w:line="360" w:lineRule="auto"/>
        <w:jc w:val="left"/>
        <w:rPr>
          <w:rFonts w:ascii="黑体" w:hAnsi="黑体" w:eastAsia="黑体" w:cs="黑体"/>
          <w:bCs/>
          <w:kern w:val="0"/>
          <w:sz w:val="28"/>
          <w:szCs w:val="28"/>
          <w:highlight w:val="none"/>
        </w:rPr>
      </w:pPr>
    </w:p>
    <w:p>
      <w:pPr>
        <w:autoSpaceDE w:val="0"/>
        <w:autoSpaceDN w:val="0"/>
        <w:spacing w:line="360" w:lineRule="auto"/>
        <w:ind w:firstLine="560" w:firstLineChars="200"/>
        <w:rPr>
          <w:rFonts w:ascii="黑体" w:hAnsi="黑体" w:eastAsia="黑体" w:cs="黑体"/>
          <w:bCs/>
          <w:kern w:val="0"/>
          <w:sz w:val="28"/>
          <w:szCs w:val="28"/>
          <w:highlight w:val="none"/>
        </w:rPr>
      </w:pPr>
      <w:r>
        <w:rPr>
          <w:rFonts w:hint="eastAsia" w:ascii="黑体" w:hAnsi="黑体" w:eastAsia="黑体" w:cs="黑体"/>
          <w:bCs/>
          <w:kern w:val="0"/>
          <w:sz w:val="28"/>
          <w:szCs w:val="28"/>
          <w:highlight w:val="none"/>
        </w:rPr>
        <w:t>本报告披露了安徽皖能环保发电有限公司</w:t>
      </w:r>
      <w:r>
        <w:rPr>
          <w:rFonts w:ascii="黑体" w:hAnsi="黑体" w:eastAsia="黑体" w:cs="黑体"/>
          <w:bCs/>
          <w:kern w:val="0"/>
          <w:sz w:val="28"/>
          <w:szCs w:val="28"/>
          <w:highlight w:val="none"/>
        </w:rPr>
        <w:t>20</w:t>
      </w:r>
      <w:r>
        <w:rPr>
          <w:rFonts w:hint="eastAsia" w:ascii="黑体" w:hAnsi="黑体" w:eastAsia="黑体" w:cs="黑体"/>
          <w:bCs/>
          <w:kern w:val="0"/>
          <w:sz w:val="28"/>
          <w:szCs w:val="28"/>
          <w:highlight w:val="none"/>
          <w:lang w:val="en-US" w:eastAsia="zh-CN"/>
        </w:rPr>
        <w:t>20</w:t>
      </w:r>
      <w:r>
        <w:rPr>
          <w:rFonts w:hint="eastAsia" w:ascii="黑体" w:hAnsi="黑体" w:eastAsia="黑体" w:cs="黑体"/>
          <w:bCs/>
          <w:kern w:val="0"/>
          <w:sz w:val="28"/>
          <w:szCs w:val="28"/>
          <w:highlight w:val="none"/>
        </w:rPr>
        <w:t>年履行社会责任，推进可持续发展，创造财富、回报社会、成就员工，追求经济、社会、环境综合价值最大化的理念、实践、绩效和</w:t>
      </w:r>
      <w:r>
        <w:rPr>
          <w:rFonts w:ascii="黑体" w:hAnsi="黑体" w:eastAsia="黑体" w:cs="黑体"/>
          <w:bCs/>
          <w:kern w:val="0"/>
          <w:sz w:val="28"/>
          <w:szCs w:val="28"/>
          <w:highlight w:val="none"/>
        </w:rPr>
        <w:t>202</w:t>
      </w:r>
      <w:r>
        <w:rPr>
          <w:rFonts w:hint="eastAsia" w:ascii="黑体" w:hAnsi="黑体" w:eastAsia="黑体" w:cs="黑体"/>
          <w:bCs/>
          <w:kern w:val="0"/>
          <w:sz w:val="28"/>
          <w:szCs w:val="28"/>
          <w:highlight w:val="none"/>
          <w:lang w:val="en-US" w:eastAsia="zh-CN"/>
        </w:rPr>
        <w:t>1</w:t>
      </w:r>
      <w:r>
        <w:rPr>
          <w:rFonts w:hint="eastAsia" w:ascii="黑体" w:hAnsi="黑体" w:eastAsia="黑体" w:cs="黑体"/>
          <w:bCs/>
          <w:kern w:val="0"/>
          <w:sz w:val="28"/>
          <w:szCs w:val="28"/>
          <w:highlight w:val="none"/>
        </w:rPr>
        <w:t>年展望。</w:t>
      </w:r>
    </w:p>
    <w:p>
      <w:pPr>
        <w:spacing w:line="360" w:lineRule="auto"/>
        <w:ind w:firstLine="560" w:firstLineChars="200"/>
        <w:rPr>
          <w:rFonts w:ascii="仿宋" w:hAnsi="宋体" w:eastAsia="仿宋"/>
          <w:bCs/>
          <w:sz w:val="28"/>
          <w:szCs w:val="28"/>
          <w:highlight w:val="none"/>
        </w:rPr>
      </w:pPr>
    </w:p>
    <w:p>
      <w:pPr>
        <w:rPr>
          <w:highlight w:val="none"/>
        </w:rPr>
      </w:pPr>
    </w:p>
    <w:p>
      <w:pPr>
        <w:rPr>
          <w:highlight w:val="none"/>
        </w:rPr>
        <w:sectPr>
          <w:pgSz w:w="11906" w:h="16838"/>
          <w:pgMar w:top="1440" w:right="1800" w:bottom="1440" w:left="1800" w:header="851" w:footer="992" w:gutter="0"/>
          <w:pgNumType w:start="1"/>
          <w:cols w:space="425" w:num="1"/>
          <w:docGrid w:linePitch="312" w:charSpace="0"/>
        </w:sectPr>
      </w:pPr>
    </w:p>
    <w:p>
      <w:pPr>
        <w:spacing w:before="240" w:beforeLines="100" w:after="240" w:afterLines="100"/>
        <w:jc w:val="center"/>
        <w:rPr>
          <w:rFonts w:ascii="Times New Roman" w:hAnsi="Times New Roman" w:eastAsia="黑体"/>
          <w:sz w:val="36"/>
          <w:szCs w:val="36"/>
          <w:highlight w:val="none"/>
        </w:rPr>
      </w:pPr>
      <w:r>
        <w:rPr>
          <w:rFonts w:hint="eastAsia" w:ascii="Times New Roman" w:hAnsi="Times New Roman" w:eastAsia="黑体"/>
          <w:sz w:val="36"/>
          <w:szCs w:val="36"/>
          <w:highlight w:val="none"/>
        </w:rPr>
        <w:t>目</w:t>
      </w:r>
      <w:r>
        <w:rPr>
          <w:rFonts w:ascii="Times New Roman" w:hAnsi="Times New Roman" w:eastAsia="黑体"/>
          <w:sz w:val="36"/>
          <w:szCs w:val="36"/>
          <w:highlight w:val="none"/>
        </w:rPr>
        <w:t xml:space="preserve">  </w:t>
      </w:r>
      <w:r>
        <w:rPr>
          <w:rFonts w:hint="eastAsia" w:ascii="Times New Roman" w:hAnsi="Times New Roman" w:eastAsia="黑体"/>
          <w:sz w:val="36"/>
          <w:szCs w:val="36"/>
          <w:highlight w:val="none"/>
        </w:rPr>
        <w:t>录</w:t>
      </w:r>
    </w:p>
    <w:p>
      <w:pPr>
        <w:pStyle w:val="13"/>
        <w:tabs>
          <w:tab w:val="right" w:leader="dot" w:pos="8296"/>
        </w:tabs>
        <w:rPr>
          <w:rFonts w:asciiTheme="minorHAnsi" w:hAnsiTheme="minorHAnsi" w:eastAsiaTheme="minorEastAsia" w:cstheme="minorBidi"/>
          <w:sz w:val="21"/>
          <w:highlight w:val="none"/>
        </w:rPr>
      </w:pPr>
      <w:r>
        <w:rPr>
          <w:highlight w:val="none"/>
        </w:rPr>
        <w:fldChar w:fldCharType="begin"/>
      </w:r>
      <w:r>
        <w:rPr>
          <w:highlight w:val="none"/>
        </w:rPr>
        <w:instrText xml:space="preserve"> </w:instrText>
      </w:r>
      <w:r>
        <w:rPr>
          <w:rFonts w:hint="eastAsia"/>
          <w:highlight w:val="none"/>
        </w:rPr>
        <w:instrText xml:space="preserve">TOC \o "1-3" \h \z \u</w:instrText>
      </w:r>
      <w:r>
        <w:rPr>
          <w:highlight w:val="none"/>
        </w:rPr>
        <w:instrText xml:space="preserve"> </w:instrText>
      </w:r>
      <w:r>
        <w:rPr>
          <w:highlight w:val="none"/>
        </w:rPr>
        <w:fldChar w:fldCharType="separate"/>
      </w:r>
      <w:r>
        <w:rPr>
          <w:highlight w:val="none"/>
        </w:rPr>
        <w:fldChar w:fldCharType="begin"/>
      </w:r>
      <w:r>
        <w:rPr>
          <w:highlight w:val="none"/>
        </w:rPr>
        <w:instrText xml:space="preserve"> HYPERLINK \l "_Toc33176281" </w:instrText>
      </w:r>
      <w:r>
        <w:rPr>
          <w:highlight w:val="none"/>
        </w:rPr>
        <w:fldChar w:fldCharType="separate"/>
      </w:r>
      <w:r>
        <w:rPr>
          <w:rStyle w:val="22"/>
          <w:highlight w:val="none"/>
        </w:rPr>
        <w:t>关于本报告说明</w:t>
      </w:r>
      <w:r>
        <w:rPr>
          <w:highlight w:val="none"/>
        </w:rPr>
        <w:tab/>
      </w:r>
      <w:r>
        <w:rPr>
          <w:highlight w:val="none"/>
        </w:rPr>
        <w:fldChar w:fldCharType="begin"/>
      </w:r>
      <w:r>
        <w:rPr>
          <w:highlight w:val="none"/>
        </w:rPr>
        <w:instrText xml:space="preserve"> PAGEREF _Toc33176281 \h </w:instrText>
      </w:r>
      <w:r>
        <w:rPr>
          <w:highlight w:val="none"/>
        </w:rPr>
        <w:fldChar w:fldCharType="separate"/>
      </w:r>
      <w:r>
        <w:rPr>
          <w:highlight w:val="none"/>
        </w:rPr>
        <w:t>1</w:t>
      </w:r>
      <w:r>
        <w:rPr>
          <w:highlight w:val="none"/>
        </w:rPr>
        <w:fldChar w:fldCharType="end"/>
      </w:r>
      <w:r>
        <w:rPr>
          <w:highlight w:val="none"/>
        </w:rPr>
        <w:fldChar w:fldCharType="end"/>
      </w:r>
    </w:p>
    <w:p>
      <w:pPr>
        <w:pStyle w:val="13"/>
        <w:tabs>
          <w:tab w:val="right" w:leader="dot" w:pos="8296"/>
        </w:tabs>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"_Toc33176282" </w:instrText>
      </w:r>
      <w:r>
        <w:rPr>
          <w:highlight w:val="none"/>
        </w:rPr>
        <w:fldChar w:fldCharType="separate"/>
      </w:r>
      <w:r>
        <w:rPr>
          <w:rStyle w:val="22"/>
          <w:highlight w:val="none"/>
        </w:rPr>
        <w:t>公司简介</w:t>
      </w:r>
      <w:r>
        <w:rPr>
          <w:highlight w:val="none"/>
        </w:rPr>
        <w:tab/>
      </w:r>
      <w:r>
        <w:rPr>
          <w:highlight w:val="none"/>
        </w:rPr>
        <w:fldChar w:fldCharType="begin"/>
      </w:r>
      <w:r>
        <w:rPr>
          <w:highlight w:val="none"/>
        </w:rPr>
        <w:instrText xml:space="preserve"> PAGEREF _Toc33176282 \h </w:instrText>
      </w:r>
      <w:r>
        <w:rPr>
          <w:highlight w:val="none"/>
        </w:rPr>
        <w:fldChar w:fldCharType="separate"/>
      </w:r>
      <w:r>
        <w:rPr>
          <w:highlight w:val="none"/>
        </w:rPr>
        <w:t>2</w:t>
      </w:r>
      <w:r>
        <w:rPr>
          <w:highlight w:val="none"/>
        </w:rPr>
        <w:fldChar w:fldCharType="end"/>
      </w:r>
      <w:r>
        <w:rPr>
          <w:highlight w:val="none"/>
        </w:rPr>
        <w:fldChar w:fldCharType="end"/>
      </w:r>
    </w:p>
    <w:p>
      <w:pPr>
        <w:pStyle w:val="13"/>
        <w:tabs>
          <w:tab w:val="right" w:leader="dot" w:pos="8296"/>
        </w:tabs>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"_Toc33176283" </w:instrText>
      </w:r>
      <w:r>
        <w:rPr>
          <w:highlight w:val="none"/>
        </w:rPr>
        <w:fldChar w:fldCharType="separate"/>
      </w:r>
      <w:r>
        <w:rPr>
          <w:rStyle w:val="22"/>
          <w:highlight w:val="none"/>
        </w:rPr>
        <w:t>一、创新发展</w:t>
      </w:r>
      <w:r>
        <w:rPr>
          <w:highlight w:val="none"/>
        </w:rPr>
        <w:tab/>
      </w:r>
      <w:r>
        <w:rPr>
          <w:highlight w:val="none"/>
        </w:rPr>
        <w:fldChar w:fldCharType="begin"/>
      </w:r>
      <w:r>
        <w:rPr>
          <w:highlight w:val="none"/>
        </w:rPr>
        <w:instrText xml:space="preserve"> PAGEREF _Toc33176283 \h </w:instrText>
      </w:r>
      <w:r>
        <w:rPr>
          <w:highlight w:val="none"/>
        </w:rPr>
        <w:fldChar w:fldCharType="separate"/>
      </w:r>
      <w:r>
        <w:rPr>
          <w:highlight w:val="none"/>
        </w:rPr>
        <w:t>4</w:t>
      </w:r>
      <w:r>
        <w:rPr>
          <w:highlight w:val="none"/>
        </w:rPr>
        <w:fldChar w:fldCharType="end"/>
      </w:r>
      <w:r>
        <w:rPr>
          <w:highlight w:val="none"/>
        </w:rPr>
        <w:fldChar w:fldCharType="end"/>
      </w:r>
    </w:p>
    <w:p>
      <w:pPr>
        <w:pStyle w:val="15"/>
        <w:tabs>
          <w:tab w:val="right" w:leader="dot" w:pos="8296"/>
        </w:tabs>
        <w:ind w:left="420"/>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"_Toc33176284" </w:instrText>
      </w:r>
      <w:r>
        <w:rPr>
          <w:highlight w:val="none"/>
        </w:rPr>
        <w:fldChar w:fldCharType="separate"/>
      </w:r>
      <w:r>
        <w:rPr>
          <w:rStyle w:val="22"/>
          <w:highlight w:val="none"/>
        </w:rPr>
        <w:t>（一）科技创新实践与成效</w:t>
      </w:r>
      <w:r>
        <w:rPr>
          <w:highlight w:val="none"/>
        </w:rPr>
        <w:tab/>
      </w:r>
      <w:r>
        <w:rPr>
          <w:highlight w:val="none"/>
        </w:rPr>
        <w:fldChar w:fldCharType="begin"/>
      </w:r>
      <w:r>
        <w:rPr>
          <w:highlight w:val="none"/>
        </w:rPr>
        <w:instrText xml:space="preserve"> PAGEREF _Toc33176284 \h </w:instrText>
      </w:r>
      <w:r>
        <w:rPr>
          <w:highlight w:val="none"/>
        </w:rPr>
        <w:fldChar w:fldCharType="separate"/>
      </w:r>
      <w:r>
        <w:rPr>
          <w:highlight w:val="none"/>
        </w:rPr>
        <w:t>4</w:t>
      </w:r>
      <w:r>
        <w:rPr>
          <w:highlight w:val="none"/>
        </w:rPr>
        <w:fldChar w:fldCharType="end"/>
      </w:r>
      <w:r>
        <w:rPr>
          <w:highlight w:val="none"/>
        </w:rPr>
        <w:fldChar w:fldCharType="end"/>
      </w:r>
    </w:p>
    <w:p>
      <w:pPr>
        <w:pStyle w:val="15"/>
        <w:tabs>
          <w:tab w:val="right" w:leader="dot" w:pos="8296"/>
        </w:tabs>
        <w:ind w:left="420"/>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"_Toc33176285" </w:instrText>
      </w:r>
      <w:r>
        <w:rPr>
          <w:highlight w:val="none"/>
        </w:rPr>
        <w:fldChar w:fldCharType="separate"/>
      </w:r>
      <w:r>
        <w:rPr>
          <w:rStyle w:val="22"/>
          <w:highlight w:val="none"/>
        </w:rPr>
        <w:t>（二）改革创新实践与成效</w:t>
      </w:r>
      <w:r>
        <w:rPr>
          <w:highlight w:val="none"/>
        </w:rPr>
        <w:tab/>
      </w:r>
      <w:r>
        <w:rPr>
          <w:highlight w:val="none"/>
        </w:rPr>
        <w:fldChar w:fldCharType="begin"/>
      </w:r>
      <w:r>
        <w:rPr>
          <w:highlight w:val="none"/>
        </w:rPr>
        <w:instrText xml:space="preserve"> PAGEREF _Toc33176285 \h </w:instrText>
      </w:r>
      <w:r>
        <w:rPr>
          <w:highlight w:val="none"/>
        </w:rPr>
        <w:fldChar w:fldCharType="separate"/>
      </w:r>
      <w:r>
        <w:rPr>
          <w:highlight w:val="none"/>
        </w:rPr>
        <w:t>6</w:t>
      </w:r>
      <w:r>
        <w:rPr>
          <w:highlight w:val="none"/>
        </w:rPr>
        <w:fldChar w:fldCharType="end"/>
      </w:r>
      <w:r>
        <w:rPr>
          <w:highlight w:val="none"/>
        </w:rPr>
        <w:fldChar w:fldCharType="end"/>
      </w:r>
    </w:p>
    <w:p>
      <w:pPr>
        <w:pStyle w:val="15"/>
        <w:tabs>
          <w:tab w:val="right" w:leader="dot" w:pos="8296"/>
        </w:tabs>
        <w:ind w:left="420"/>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"_Toc33176286" </w:instrText>
      </w:r>
      <w:r>
        <w:rPr>
          <w:highlight w:val="none"/>
        </w:rPr>
        <w:fldChar w:fldCharType="separate"/>
      </w:r>
      <w:r>
        <w:rPr>
          <w:rStyle w:val="22"/>
          <w:highlight w:val="none"/>
        </w:rPr>
        <w:t>（三）信息化建设实践与成效</w:t>
      </w:r>
      <w:r>
        <w:rPr>
          <w:highlight w:val="none"/>
        </w:rPr>
        <w:tab/>
      </w:r>
      <w:r>
        <w:rPr>
          <w:highlight w:val="none"/>
        </w:rPr>
        <w:fldChar w:fldCharType="begin"/>
      </w:r>
      <w:r>
        <w:rPr>
          <w:highlight w:val="none"/>
        </w:rPr>
        <w:instrText xml:space="preserve"> PAGEREF _Toc33176286 \h </w:instrText>
      </w:r>
      <w:r>
        <w:rPr>
          <w:highlight w:val="none"/>
        </w:rPr>
        <w:fldChar w:fldCharType="separate"/>
      </w:r>
      <w:r>
        <w:rPr>
          <w:highlight w:val="none"/>
        </w:rPr>
        <w:t>7</w:t>
      </w:r>
      <w:r>
        <w:rPr>
          <w:highlight w:val="none"/>
        </w:rPr>
        <w:fldChar w:fldCharType="end"/>
      </w:r>
      <w:r>
        <w:rPr>
          <w:highlight w:val="none"/>
        </w:rPr>
        <w:fldChar w:fldCharType="end"/>
      </w:r>
    </w:p>
    <w:p>
      <w:pPr>
        <w:pStyle w:val="13"/>
        <w:tabs>
          <w:tab w:val="right" w:leader="dot" w:pos="8296"/>
        </w:tabs>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"_Toc33176287" </w:instrText>
      </w:r>
      <w:r>
        <w:rPr>
          <w:highlight w:val="none"/>
        </w:rPr>
        <w:fldChar w:fldCharType="separate"/>
      </w:r>
      <w:r>
        <w:rPr>
          <w:rStyle w:val="22"/>
          <w:highlight w:val="none"/>
        </w:rPr>
        <w:t>二、协调发展</w:t>
      </w:r>
      <w:r>
        <w:rPr>
          <w:highlight w:val="none"/>
        </w:rPr>
        <w:tab/>
      </w:r>
      <w:r>
        <w:rPr>
          <w:highlight w:val="none"/>
        </w:rPr>
        <w:fldChar w:fldCharType="begin"/>
      </w:r>
      <w:r>
        <w:rPr>
          <w:highlight w:val="none"/>
        </w:rPr>
        <w:instrText xml:space="preserve"> PAGEREF _Toc33176287 \h </w:instrText>
      </w:r>
      <w:r>
        <w:rPr>
          <w:highlight w:val="none"/>
        </w:rPr>
        <w:fldChar w:fldCharType="separate"/>
      </w:r>
      <w:r>
        <w:rPr>
          <w:highlight w:val="none"/>
        </w:rPr>
        <w:t>9</w:t>
      </w:r>
      <w:r>
        <w:rPr>
          <w:highlight w:val="none"/>
        </w:rPr>
        <w:fldChar w:fldCharType="end"/>
      </w:r>
      <w:r>
        <w:rPr>
          <w:highlight w:val="none"/>
        </w:rPr>
        <w:fldChar w:fldCharType="end"/>
      </w:r>
    </w:p>
    <w:p>
      <w:pPr>
        <w:pStyle w:val="15"/>
        <w:tabs>
          <w:tab w:val="right" w:leader="dot" w:pos="8296"/>
        </w:tabs>
        <w:ind w:left="420"/>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"_Toc33176288" </w:instrText>
      </w:r>
      <w:r>
        <w:rPr>
          <w:highlight w:val="none"/>
        </w:rPr>
        <w:fldChar w:fldCharType="separate"/>
      </w:r>
      <w:r>
        <w:rPr>
          <w:rStyle w:val="22"/>
          <w:highlight w:val="none"/>
        </w:rPr>
        <w:t>（一）诚信经营</w:t>
      </w:r>
      <w:r>
        <w:rPr>
          <w:highlight w:val="none"/>
        </w:rPr>
        <w:tab/>
      </w:r>
      <w:r>
        <w:rPr>
          <w:highlight w:val="none"/>
        </w:rPr>
        <w:fldChar w:fldCharType="begin"/>
      </w:r>
      <w:r>
        <w:rPr>
          <w:highlight w:val="none"/>
        </w:rPr>
        <w:instrText xml:space="preserve"> PAGEREF _Toc33176288 \h </w:instrText>
      </w:r>
      <w:r>
        <w:rPr>
          <w:highlight w:val="none"/>
        </w:rPr>
        <w:fldChar w:fldCharType="separate"/>
      </w:r>
      <w:r>
        <w:rPr>
          <w:highlight w:val="none"/>
        </w:rPr>
        <w:t>9</w:t>
      </w:r>
      <w:r>
        <w:rPr>
          <w:highlight w:val="none"/>
        </w:rPr>
        <w:fldChar w:fldCharType="end"/>
      </w:r>
      <w:r>
        <w:rPr>
          <w:highlight w:val="none"/>
        </w:rPr>
        <w:fldChar w:fldCharType="end"/>
      </w:r>
    </w:p>
    <w:p>
      <w:pPr>
        <w:pStyle w:val="15"/>
        <w:tabs>
          <w:tab w:val="right" w:leader="dot" w:pos="8296"/>
        </w:tabs>
        <w:ind w:left="420"/>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"_Toc33176289" </w:instrText>
      </w:r>
      <w:r>
        <w:rPr>
          <w:highlight w:val="none"/>
        </w:rPr>
        <w:fldChar w:fldCharType="separate"/>
      </w:r>
      <w:r>
        <w:rPr>
          <w:rStyle w:val="22"/>
          <w:highlight w:val="none"/>
        </w:rPr>
        <w:t>（二）</w:t>
      </w:r>
      <w:r>
        <w:rPr>
          <w:rStyle w:val="22"/>
          <w:highlight w:val="none"/>
          <w:shd w:val="clear" w:color="auto" w:fill="FFFFFF"/>
        </w:rPr>
        <w:t>责任经营</w:t>
      </w:r>
      <w:r>
        <w:rPr>
          <w:highlight w:val="none"/>
        </w:rPr>
        <w:tab/>
      </w:r>
      <w:r>
        <w:rPr>
          <w:highlight w:val="none"/>
        </w:rPr>
        <w:fldChar w:fldCharType="begin"/>
      </w:r>
      <w:r>
        <w:rPr>
          <w:highlight w:val="none"/>
        </w:rPr>
        <w:instrText xml:space="preserve"> PAGEREF _Toc33176289 \h </w:instrText>
      </w:r>
      <w:r>
        <w:rPr>
          <w:highlight w:val="none"/>
        </w:rPr>
        <w:fldChar w:fldCharType="separate"/>
      </w:r>
      <w:r>
        <w:rPr>
          <w:highlight w:val="none"/>
        </w:rPr>
        <w:t>9</w:t>
      </w:r>
      <w:r>
        <w:rPr>
          <w:highlight w:val="none"/>
        </w:rPr>
        <w:fldChar w:fldCharType="end"/>
      </w:r>
      <w:r>
        <w:rPr>
          <w:highlight w:val="none"/>
        </w:rPr>
        <w:fldChar w:fldCharType="end"/>
      </w:r>
    </w:p>
    <w:p>
      <w:pPr>
        <w:pStyle w:val="13"/>
        <w:tabs>
          <w:tab w:val="right" w:leader="dot" w:pos="8296"/>
        </w:tabs>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"_Toc33176290" </w:instrText>
      </w:r>
      <w:r>
        <w:rPr>
          <w:highlight w:val="none"/>
        </w:rPr>
        <w:fldChar w:fldCharType="separate"/>
      </w:r>
      <w:r>
        <w:rPr>
          <w:rStyle w:val="22"/>
          <w:highlight w:val="none"/>
        </w:rPr>
        <w:t>三、和谐发展</w:t>
      </w:r>
      <w:r>
        <w:rPr>
          <w:highlight w:val="none"/>
        </w:rPr>
        <w:tab/>
      </w:r>
      <w:r>
        <w:rPr>
          <w:highlight w:val="none"/>
        </w:rPr>
        <w:fldChar w:fldCharType="begin"/>
      </w:r>
      <w:r>
        <w:rPr>
          <w:highlight w:val="none"/>
        </w:rPr>
        <w:instrText xml:space="preserve"> PAGEREF _Toc33176290 \h </w:instrText>
      </w:r>
      <w:r>
        <w:rPr>
          <w:highlight w:val="none"/>
        </w:rPr>
        <w:fldChar w:fldCharType="separate"/>
      </w:r>
      <w:r>
        <w:rPr>
          <w:highlight w:val="none"/>
        </w:rPr>
        <w:t>11</w:t>
      </w:r>
      <w:r>
        <w:rPr>
          <w:highlight w:val="none"/>
        </w:rPr>
        <w:fldChar w:fldCharType="end"/>
      </w:r>
      <w:r>
        <w:rPr>
          <w:highlight w:val="none"/>
        </w:rPr>
        <w:fldChar w:fldCharType="end"/>
      </w:r>
    </w:p>
    <w:p>
      <w:pPr>
        <w:pStyle w:val="15"/>
        <w:tabs>
          <w:tab w:val="right" w:leader="dot" w:pos="8296"/>
        </w:tabs>
        <w:ind w:left="420"/>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"_Toc33176291" </w:instrText>
      </w:r>
      <w:r>
        <w:rPr>
          <w:highlight w:val="none"/>
        </w:rPr>
        <w:fldChar w:fldCharType="separate"/>
      </w:r>
      <w:r>
        <w:rPr>
          <w:rStyle w:val="22"/>
          <w:rFonts w:ascii="宋体" w:hAnsi="宋体"/>
          <w:highlight w:val="none"/>
        </w:rPr>
        <w:t>（一）积极落实安全规章制度，强化安全防范措施</w:t>
      </w:r>
      <w:r>
        <w:rPr>
          <w:highlight w:val="none"/>
        </w:rPr>
        <w:tab/>
      </w:r>
      <w:r>
        <w:rPr>
          <w:highlight w:val="none"/>
        </w:rPr>
        <w:fldChar w:fldCharType="begin"/>
      </w:r>
      <w:r>
        <w:rPr>
          <w:highlight w:val="none"/>
        </w:rPr>
        <w:instrText xml:space="preserve"> PAGEREF _Toc33176291 \h </w:instrText>
      </w:r>
      <w:r>
        <w:rPr>
          <w:highlight w:val="none"/>
        </w:rPr>
        <w:fldChar w:fldCharType="separate"/>
      </w:r>
      <w:r>
        <w:rPr>
          <w:highlight w:val="none"/>
        </w:rPr>
        <w:t>11</w:t>
      </w:r>
      <w:r>
        <w:rPr>
          <w:highlight w:val="none"/>
        </w:rPr>
        <w:fldChar w:fldCharType="end"/>
      </w:r>
      <w:r>
        <w:rPr>
          <w:highlight w:val="none"/>
        </w:rPr>
        <w:fldChar w:fldCharType="end"/>
      </w:r>
    </w:p>
    <w:p>
      <w:pPr>
        <w:pStyle w:val="15"/>
        <w:tabs>
          <w:tab w:val="right" w:leader="dot" w:pos="8296"/>
        </w:tabs>
        <w:ind w:left="420"/>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"_Toc33176292" </w:instrText>
      </w:r>
      <w:r>
        <w:rPr>
          <w:highlight w:val="none"/>
        </w:rPr>
        <w:fldChar w:fldCharType="separate"/>
      </w:r>
      <w:r>
        <w:rPr>
          <w:rStyle w:val="22"/>
          <w:rFonts w:ascii="宋体" w:hAnsi="宋体"/>
          <w:highlight w:val="none"/>
        </w:rPr>
        <w:t>（二）积极落实企业主体责任，切实保障员工身体健康</w:t>
      </w:r>
      <w:r>
        <w:rPr>
          <w:highlight w:val="none"/>
        </w:rPr>
        <w:tab/>
      </w:r>
      <w:r>
        <w:rPr>
          <w:highlight w:val="none"/>
        </w:rPr>
        <w:fldChar w:fldCharType="begin"/>
      </w:r>
      <w:r>
        <w:rPr>
          <w:highlight w:val="none"/>
        </w:rPr>
        <w:instrText xml:space="preserve"> PAGEREF _Toc33176292 \h </w:instrText>
      </w:r>
      <w:r>
        <w:rPr>
          <w:highlight w:val="none"/>
        </w:rPr>
        <w:fldChar w:fldCharType="separate"/>
      </w:r>
      <w:r>
        <w:rPr>
          <w:highlight w:val="none"/>
        </w:rPr>
        <w:t>18</w:t>
      </w:r>
      <w:r>
        <w:rPr>
          <w:highlight w:val="none"/>
        </w:rPr>
        <w:fldChar w:fldCharType="end"/>
      </w:r>
      <w:r>
        <w:rPr>
          <w:highlight w:val="none"/>
        </w:rPr>
        <w:fldChar w:fldCharType="end"/>
      </w:r>
    </w:p>
    <w:p>
      <w:pPr>
        <w:pStyle w:val="15"/>
        <w:tabs>
          <w:tab w:val="right" w:leader="dot" w:pos="8296"/>
        </w:tabs>
        <w:ind w:left="420"/>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"_Toc33176293" </w:instrText>
      </w:r>
      <w:r>
        <w:rPr>
          <w:highlight w:val="none"/>
        </w:rPr>
        <w:fldChar w:fldCharType="separate"/>
      </w:r>
      <w:r>
        <w:rPr>
          <w:rStyle w:val="22"/>
          <w:rFonts w:ascii="宋体" w:hAnsi="宋体"/>
          <w:highlight w:val="none"/>
        </w:rPr>
        <w:t>（三）积极助力员工成长，稳步成就企业未来</w:t>
      </w:r>
      <w:r>
        <w:rPr>
          <w:highlight w:val="none"/>
        </w:rPr>
        <w:tab/>
      </w:r>
      <w:r>
        <w:rPr>
          <w:highlight w:val="none"/>
        </w:rPr>
        <w:fldChar w:fldCharType="begin"/>
      </w:r>
      <w:r>
        <w:rPr>
          <w:highlight w:val="none"/>
        </w:rPr>
        <w:instrText xml:space="preserve"> PAGEREF _Toc33176293 \h </w:instrText>
      </w:r>
      <w:r>
        <w:rPr>
          <w:highlight w:val="none"/>
        </w:rPr>
        <w:fldChar w:fldCharType="separate"/>
      </w:r>
      <w:r>
        <w:rPr>
          <w:highlight w:val="none"/>
        </w:rPr>
        <w:t>19</w:t>
      </w:r>
      <w:r>
        <w:rPr>
          <w:highlight w:val="none"/>
        </w:rPr>
        <w:fldChar w:fldCharType="end"/>
      </w:r>
      <w:r>
        <w:rPr>
          <w:highlight w:val="none"/>
        </w:rPr>
        <w:fldChar w:fldCharType="end"/>
      </w:r>
    </w:p>
    <w:p>
      <w:pPr>
        <w:pStyle w:val="15"/>
        <w:tabs>
          <w:tab w:val="right" w:leader="dot" w:pos="8296"/>
        </w:tabs>
        <w:ind w:left="420"/>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"_Toc33176294" </w:instrText>
      </w:r>
      <w:r>
        <w:rPr>
          <w:highlight w:val="none"/>
        </w:rPr>
        <w:fldChar w:fldCharType="separate"/>
      </w:r>
      <w:r>
        <w:rPr>
          <w:rStyle w:val="22"/>
          <w:rFonts w:ascii="宋体" w:hAnsi="宋体"/>
          <w:highlight w:val="none"/>
        </w:rPr>
        <w:t>（四）积极落实企业民主管理规定，促进企业持续健康发展</w:t>
      </w:r>
      <w:r>
        <w:rPr>
          <w:highlight w:val="none"/>
        </w:rPr>
        <w:tab/>
      </w:r>
      <w:r>
        <w:rPr>
          <w:highlight w:val="none"/>
        </w:rPr>
        <w:fldChar w:fldCharType="begin"/>
      </w:r>
      <w:r>
        <w:rPr>
          <w:highlight w:val="none"/>
        </w:rPr>
        <w:instrText xml:space="preserve"> PAGEREF _Toc33176294 \h </w:instrText>
      </w:r>
      <w:r>
        <w:rPr>
          <w:highlight w:val="none"/>
        </w:rPr>
        <w:fldChar w:fldCharType="separate"/>
      </w:r>
      <w:r>
        <w:rPr>
          <w:highlight w:val="none"/>
        </w:rPr>
        <w:t>20</w:t>
      </w:r>
      <w:r>
        <w:rPr>
          <w:highlight w:val="none"/>
        </w:rPr>
        <w:fldChar w:fldCharType="end"/>
      </w:r>
      <w:r>
        <w:rPr>
          <w:highlight w:val="none"/>
        </w:rPr>
        <w:fldChar w:fldCharType="end"/>
      </w:r>
    </w:p>
    <w:p>
      <w:pPr>
        <w:pStyle w:val="15"/>
        <w:tabs>
          <w:tab w:val="right" w:leader="dot" w:pos="8296"/>
        </w:tabs>
        <w:ind w:left="420"/>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"_Toc33176295" </w:instrText>
      </w:r>
      <w:r>
        <w:rPr>
          <w:highlight w:val="none"/>
        </w:rPr>
        <w:fldChar w:fldCharType="separate"/>
      </w:r>
      <w:r>
        <w:rPr>
          <w:rStyle w:val="22"/>
          <w:rFonts w:ascii="宋体" w:hAnsi="宋体"/>
          <w:highlight w:val="none"/>
        </w:rPr>
        <w:t>（五）坚持以人为本关爱员工，增强企业凝聚力</w:t>
      </w:r>
      <w:r>
        <w:rPr>
          <w:highlight w:val="none"/>
        </w:rPr>
        <w:tab/>
      </w:r>
      <w:r>
        <w:rPr>
          <w:highlight w:val="none"/>
        </w:rPr>
        <w:fldChar w:fldCharType="begin"/>
      </w:r>
      <w:r>
        <w:rPr>
          <w:highlight w:val="none"/>
        </w:rPr>
        <w:instrText xml:space="preserve"> PAGEREF _Toc33176295 \h </w:instrText>
      </w:r>
      <w:r>
        <w:rPr>
          <w:highlight w:val="none"/>
        </w:rPr>
        <w:fldChar w:fldCharType="separate"/>
      </w:r>
      <w:r>
        <w:rPr>
          <w:highlight w:val="none"/>
        </w:rPr>
        <w:t>21</w:t>
      </w:r>
      <w:r>
        <w:rPr>
          <w:highlight w:val="none"/>
        </w:rPr>
        <w:fldChar w:fldCharType="end"/>
      </w:r>
      <w:r>
        <w:rPr>
          <w:highlight w:val="none"/>
        </w:rPr>
        <w:fldChar w:fldCharType="end"/>
      </w:r>
    </w:p>
    <w:p>
      <w:pPr>
        <w:pStyle w:val="13"/>
        <w:tabs>
          <w:tab w:val="right" w:leader="dot" w:pos="8296"/>
        </w:tabs>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"_Toc33176296" </w:instrText>
      </w:r>
      <w:r>
        <w:rPr>
          <w:highlight w:val="none"/>
        </w:rPr>
        <w:fldChar w:fldCharType="separate"/>
      </w:r>
      <w:r>
        <w:rPr>
          <w:rStyle w:val="22"/>
          <w:highlight w:val="none"/>
        </w:rPr>
        <w:t>四、绿色发展</w:t>
      </w:r>
      <w:r>
        <w:rPr>
          <w:highlight w:val="none"/>
        </w:rPr>
        <w:tab/>
      </w:r>
      <w:r>
        <w:rPr>
          <w:highlight w:val="none"/>
        </w:rPr>
        <w:fldChar w:fldCharType="begin"/>
      </w:r>
      <w:r>
        <w:rPr>
          <w:highlight w:val="none"/>
        </w:rPr>
        <w:instrText xml:space="preserve"> PAGEREF _Toc33176296 \h </w:instrText>
      </w:r>
      <w:r>
        <w:rPr>
          <w:highlight w:val="none"/>
        </w:rPr>
        <w:fldChar w:fldCharType="separate"/>
      </w:r>
      <w:r>
        <w:rPr>
          <w:highlight w:val="none"/>
        </w:rPr>
        <w:t>25</w:t>
      </w:r>
      <w:r>
        <w:rPr>
          <w:highlight w:val="none"/>
        </w:rPr>
        <w:fldChar w:fldCharType="end"/>
      </w:r>
      <w:r>
        <w:rPr>
          <w:highlight w:val="none"/>
        </w:rPr>
        <w:fldChar w:fldCharType="end"/>
      </w:r>
    </w:p>
    <w:p>
      <w:pPr>
        <w:pStyle w:val="15"/>
        <w:tabs>
          <w:tab w:val="right" w:leader="dot" w:pos="8296"/>
        </w:tabs>
        <w:ind w:left="420"/>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"_Toc33176297" </w:instrText>
      </w:r>
      <w:r>
        <w:rPr>
          <w:highlight w:val="none"/>
        </w:rPr>
        <w:fldChar w:fldCharType="separate"/>
      </w:r>
      <w:r>
        <w:rPr>
          <w:rStyle w:val="22"/>
          <w:highlight w:val="none"/>
        </w:rPr>
        <w:t>（一）环境保护公益活动</w:t>
      </w:r>
      <w:r>
        <w:rPr>
          <w:highlight w:val="none"/>
        </w:rPr>
        <w:tab/>
      </w:r>
      <w:r>
        <w:rPr>
          <w:highlight w:val="none"/>
        </w:rPr>
        <w:fldChar w:fldCharType="begin"/>
      </w:r>
      <w:r>
        <w:rPr>
          <w:highlight w:val="none"/>
        </w:rPr>
        <w:instrText xml:space="preserve"> PAGEREF _Toc33176297 \h </w:instrText>
      </w:r>
      <w:r>
        <w:rPr>
          <w:highlight w:val="none"/>
        </w:rPr>
        <w:fldChar w:fldCharType="separate"/>
      </w:r>
      <w:r>
        <w:rPr>
          <w:highlight w:val="none"/>
        </w:rPr>
        <w:t>25</w:t>
      </w:r>
      <w:r>
        <w:rPr>
          <w:highlight w:val="none"/>
        </w:rPr>
        <w:fldChar w:fldCharType="end"/>
      </w:r>
      <w:r>
        <w:rPr>
          <w:highlight w:val="none"/>
        </w:rPr>
        <w:fldChar w:fldCharType="end"/>
      </w:r>
    </w:p>
    <w:p>
      <w:pPr>
        <w:pStyle w:val="15"/>
        <w:tabs>
          <w:tab w:val="right" w:leader="dot" w:pos="8296"/>
        </w:tabs>
        <w:ind w:left="420"/>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"_Toc33176298" </w:instrText>
      </w:r>
      <w:r>
        <w:rPr>
          <w:highlight w:val="none"/>
        </w:rPr>
        <w:fldChar w:fldCharType="separate"/>
      </w:r>
      <w:r>
        <w:rPr>
          <w:rStyle w:val="22"/>
          <w:rFonts w:ascii="宋体" w:hAnsi="宋体"/>
          <w:highlight w:val="none"/>
        </w:rPr>
        <w:t>（二）节能减排共建美好家园</w:t>
      </w:r>
      <w:r>
        <w:rPr>
          <w:highlight w:val="none"/>
        </w:rPr>
        <w:tab/>
      </w:r>
      <w:r>
        <w:rPr>
          <w:highlight w:val="none"/>
        </w:rPr>
        <w:fldChar w:fldCharType="begin"/>
      </w:r>
      <w:r>
        <w:rPr>
          <w:highlight w:val="none"/>
        </w:rPr>
        <w:instrText xml:space="preserve"> PAGEREF _Toc33176298 \h </w:instrText>
      </w:r>
      <w:r>
        <w:rPr>
          <w:highlight w:val="none"/>
        </w:rPr>
        <w:fldChar w:fldCharType="separate"/>
      </w:r>
      <w:r>
        <w:rPr>
          <w:highlight w:val="none"/>
        </w:rPr>
        <w:t>27</w:t>
      </w:r>
      <w:r>
        <w:rPr>
          <w:highlight w:val="none"/>
        </w:rPr>
        <w:fldChar w:fldCharType="end"/>
      </w:r>
      <w:r>
        <w:rPr>
          <w:highlight w:val="none"/>
        </w:rPr>
        <w:fldChar w:fldCharType="end"/>
      </w:r>
    </w:p>
    <w:p>
      <w:pPr>
        <w:pStyle w:val="13"/>
        <w:tabs>
          <w:tab w:val="right" w:leader="dot" w:pos="8296"/>
        </w:tabs>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"_Toc33176299" </w:instrText>
      </w:r>
      <w:r>
        <w:rPr>
          <w:highlight w:val="none"/>
        </w:rPr>
        <w:fldChar w:fldCharType="separate"/>
      </w:r>
      <w:r>
        <w:rPr>
          <w:rStyle w:val="22"/>
          <w:highlight w:val="none"/>
        </w:rPr>
        <w:t>五、开放发展</w:t>
      </w:r>
      <w:r>
        <w:rPr>
          <w:highlight w:val="none"/>
        </w:rPr>
        <w:tab/>
      </w:r>
      <w:r>
        <w:rPr>
          <w:highlight w:val="none"/>
        </w:rPr>
        <w:fldChar w:fldCharType="begin"/>
      </w:r>
      <w:r>
        <w:rPr>
          <w:highlight w:val="none"/>
        </w:rPr>
        <w:instrText xml:space="preserve"> PAGEREF _Toc33176299 \h </w:instrText>
      </w:r>
      <w:r>
        <w:rPr>
          <w:highlight w:val="none"/>
        </w:rPr>
        <w:fldChar w:fldCharType="separate"/>
      </w:r>
      <w:r>
        <w:rPr>
          <w:highlight w:val="none"/>
        </w:rPr>
        <w:t>29</w:t>
      </w:r>
      <w:r>
        <w:rPr>
          <w:highlight w:val="none"/>
        </w:rPr>
        <w:fldChar w:fldCharType="end"/>
      </w:r>
      <w:r>
        <w:rPr>
          <w:highlight w:val="none"/>
        </w:rPr>
        <w:fldChar w:fldCharType="end"/>
      </w:r>
    </w:p>
    <w:p>
      <w:pPr>
        <w:pStyle w:val="13"/>
        <w:tabs>
          <w:tab w:val="right" w:leader="dot" w:pos="8296"/>
        </w:tabs>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"_Toc33176300" </w:instrText>
      </w:r>
      <w:r>
        <w:rPr>
          <w:highlight w:val="none"/>
        </w:rPr>
        <w:fldChar w:fldCharType="separate"/>
      </w:r>
      <w:r>
        <w:rPr>
          <w:rStyle w:val="22"/>
          <w:highlight w:val="none"/>
        </w:rPr>
        <w:t>六、共享发展</w:t>
      </w:r>
      <w:r>
        <w:rPr>
          <w:highlight w:val="none"/>
        </w:rPr>
        <w:tab/>
      </w:r>
      <w:r>
        <w:rPr>
          <w:highlight w:val="none"/>
        </w:rPr>
        <w:fldChar w:fldCharType="begin"/>
      </w:r>
      <w:r>
        <w:rPr>
          <w:highlight w:val="none"/>
        </w:rPr>
        <w:instrText xml:space="preserve"> PAGEREF _Toc33176300 \h </w:instrText>
      </w:r>
      <w:r>
        <w:rPr>
          <w:highlight w:val="none"/>
        </w:rPr>
        <w:fldChar w:fldCharType="separate"/>
      </w:r>
      <w:r>
        <w:rPr>
          <w:highlight w:val="none"/>
        </w:rPr>
        <w:t>32</w:t>
      </w:r>
      <w:r>
        <w:rPr>
          <w:highlight w:val="none"/>
        </w:rPr>
        <w:fldChar w:fldCharType="end"/>
      </w:r>
      <w:r>
        <w:rPr>
          <w:highlight w:val="none"/>
        </w:rPr>
        <w:fldChar w:fldCharType="end"/>
      </w:r>
    </w:p>
    <w:p>
      <w:pPr>
        <w:pStyle w:val="13"/>
        <w:tabs>
          <w:tab w:val="right" w:leader="dot" w:pos="8296"/>
        </w:tabs>
        <w:rPr>
          <w:rFonts w:asciiTheme="minorHAnsi" w:hAnsiTheme="minorHAnsi" w:eastAsiaTheme="minorEastAsia" w:cstheme="minorBidi"/>
          <w:sz w:val="21"/>
          <w:highlight w:val="none"/>
        </w:rPr>
      </w:pPr>
      <w:r>
        <w:rPr>
          <w:highlight w:val="none"/>
        </w:rPr>
        <w:fldChar w:fldCharType="begin"/>
      </w:r>
      <w:r>
        <w:rPr>
          <w:highlight w:val="none"/>
        </w:rPr>
        <w:instrText xml:space="preserve"> HYPERLINK \l "_Toc33176301" </w:instrText>
      </w:r>
      <w:r>
        <w:rPr>
          <w:highlight w:val="none"/>
        </w:rPr>
        <w:fldChar w:fldCharType="separate"/>
      </w:r>
      <w:r>
        <w:rPr>
          <w:rStyle w:val="22"/>
          <w:highlight w:val="none"/>
        </w:rPr>
        <w:t>七、结语</w:t>
      </w:r>
      <w:r>
        <w:rPr>
          <w:highlight w:val="none"/>
        </w:rPr>
        <w:tab/>
      </w:r>
      <w:r>
        <w:rPr>
          <w:highlight w:val="none"/>
        </w:rPr>
        <w:fldChar w:fldCharType="begin"/>
      </w:r>
      <w:r>
        <w:rPr>
          <w:highlight w:val="none"/>
        </w:rPr>
        <w:instrText xml:space="preserve"> PAGEREF _Toc33176301 \h </w:instrText>
      </w:r>
      <w:r>
        <w:rPr>
          <w:highlight w:val="none"/>
        </w:rPr>
        <w:fldChar w:fldCharType="separate"/>
      </w:r>
      <w:r>
        <w:rPr>
          <w:highlight w:val="none"/>
        </w:rPr>
        <w:t>34</w:t>
      </w:r>
      <w:r>
        <w:rPr>
          <w:highlight w:val="none"/>
        </w:rPr>
        <w:fldChar w:fldCharType="end"/>
      </w:r>
      <w:r>
        <w:rPr>
          <w:highlight w:val="none"/>
        </w:rPr>
        <w:fldChar w:fldCharType="end"/>
      </w:r>
    </w:p>
    <w:p>
      <w:pPr>
        <w:rPr>
          <w:highlight w:val="none"/>
        </w:rPr>
      </w:pPr>
      <w:r>
        <w:rPr>
          <w:highlight w:val="none"/>
        </w:rPr>
        <w:fldChar w:fldCharType="end"/>
      </w:r>
    </w:p>
    <w:p>
      <w:pPr>
        <w:rPr>
          <w:highlight w:val="none"/>
        </w:rPr>
      </w:pPr>
    </w:p>
    <w:p>
      <w:pPr>
        <w:rPr>
          <w:highlight w:val="none"/>
        </w:rPr>
        <w:sectPr>
          <w:pgSz w:w="11906" w:h="16838"/>
          <w:pgMar w:top="1440" w:right="1800" w:bottom="1440" w:left="1800" w:header="851" w:footer="992" w:gutter="0"/>
          <w:pgNumType w:start="1"/>
          <w:cols w:space="425" w:num="1"/>
          <w:docGrid w:linePitch="312" w:charSpace="0"/>
        </w:sectPr>
      </w:pPr>
    </w:p>
    <w:p>
      <w:pPr>
        <w:pStyle w:val="3"/>
        <w:numPr>
          <w:ilvl w:val="0"/>
          <w:numId w:val="0"/>
        </w:numPr>
        <w:spacing w:before="240" w:after="240"/>
        <w:rPr>
          <w:highlight w:val="none"/>
        </w:rPr>
      </w:pPr>
      <w:bookmarkStart w:id="2" w:name="_Toc33176281"/>
      <w:bookmarkStart w:id="3" w:name="_Toc32950325"/>
      <w:r>
        <w:rPr>
          <w:rFonts w:hint="eastAsia"/>
          <w:highlight w:val="none"/>
        </w:rPr>
        <w:t>关于本报告说明</w:t>
      </w:r>
      <w:bookmarkEnd w:id="2"/>
      <w:bookmarkEnd w:id="3"/>
    </w:p>
    <w:p>
      <w:pPr>
        <w:spacing w:before="120" w:beforeLines="50" w:after="120" w:afterLines="50"/>
        <w:outlineLvl w:val="1"/>
        <w:rPr>
          <w:rFonts w:ascii="仿宋" w:hAnsi="仿宋" w:eastAsia="仿宋"/>
          <w:b/>
          <w:bCs/>
          <w:sz w:val="32"/>
          <w:szCs w:val="32"/>
          <w:highlight w:val="none"/>
        </w:rPr>
      </w:pPr>
      <w:r>
        <w:rPr>
          <w:rFonts w:hint="eastAsia" w:ascii="仿宋" w:hAnsi="仿宋" w:eastAsia="仿宋"/>
          <w:b/>
          <w:bCs/>
          <w:sz w:val="32"/>
          <w:szCs w:val="32"/>
          <w:highlight w:val="none"/>
        </w:rPr>
        <w:t>报告简介</w:t>
      </w:r>
    </w:p>
    <w:p>
      <w:pPr>
        <w:spacing w:line="360"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报告回顾了公司20</w:t>
      </w:r>
      <w:r>
        <w:rPr>
          <w:rFonts w:hint="eastAsia" w:ascii="仿宋" w:hAnsi="仿宋" w:eastAsia="仿宋"/>
          <w:sz w:val="28"/>
          <w:szCs w:val="28"/>
          <w:highlight w:val="none"/>
          <w:lang w:val="en-US" w:eastAsia="zh-CN"/>
        </w:rPr>
        <w:t>20</w:t>
      </w:r>
      <w:r>
        <w:rPr>
          <w:rFonts w:hint="eastAsia" w:ascii="仿宋" w:hAnsi="仿宋" w:eastAsia="仿宋"/>
          <w:sz w:val="28"/>
          <w:szCs w:val="28"/>
          <w:highlight w:val="none"/>
        </w:rPr>
        <w:t>年在社会责任方面所做的各项工作，披露了公司履行经济、环境和社会责任方面的理念、践行和成绩。</w:t>
      </w:r>
    </w:p>
    <w:p>
      <w:pPr>
        <w:spacing w:before="120" w:beforeLines="50" w:after="120" w:afterLines="50"/>
        <w:outlineLvl w:val="1"/>
        <w:rPr>
          <w:rFonts w:ascii="仿宋" w:hAnsi="仿宋" w:eastAsia="仿宋"/>
          <w:b/>
          <w:bCs/>
          <w:sz w:val="32"/>
          <w:szCs w:val="32"/>
          <w:highlight w:val="none"/>
        </w:rPr>
      </w:pPr>
      <w:r>
        <w:rPr>
          <w:rFonts w:hint="eastAsia" w:ascii="仿宋" w:hAnsi="仿宋" w:eastAsia="仿宋"/>
          <w:b/>
          <w:bCs/>
          <w:sz w:val="32"/>
          <w:szCs w:val="32"/>
          <w:highlight w:val="none"/>
        </w:rPr>
        <w:t>编写标准</w:t>
      </w:r>
    </w:p>
    <w:p>
      <w:pPr>
        <w:spacing w:line="360"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本报告是安徽皖能环保发电有限公司(以下简称“环保发电公司”)根据皖能集团《关于开展环保发电公司20</w:t>
      </w:r>
      <w:r>
        <w:rPr>
          <w:rFonts w:hint="eastAsia" w:ascii="仿宋" w:hAnsi="仿宋" w:eastAsia="仿宋"/>
          <w:sz w:val="28"/>
          <w:szCs w:val="28"/>
          <w:highlight w:val="none"/>
          <w:lang w:val="en-US" w:eastAsia="zh-CN"/>
        </w:rPr>
        <w:t>20</w:t>
      </w:r>
      <w:r>
        <w:rPr>
          <w:rFonts w:hint="eastAsia" w:ascii="仿宋" w:hAnsi="仿宋" w:eastAsia="仿宋"/>
          <w:sz w:val="28"/>
          <w:szCs w:val="28"/>
          <w:highlight w:val="none"/>
        </w:rPr>
        <w:t>年社会责任报告编制工作的通知》，结合环保发电公司在履行社会责任方面的具体情况编制的。报告真实、客观地阐述了环保发电公司20</w:t>
      </w:r>
      <w:r>
        <w:rPr>
          <w:rFonts w:hint="eastAsia" w:ascii="仿宋" w:hAnsi="仿宋" w:eastAsia="仿宋"/>
          <w:sz w:val="28"/>
          <w:szCs w:val="28"/>
          <w:highlight w:val="none"/>
          <w:lang w:val="en-US" w:eastAsia="zh-CN"/>
        </w:rPr>
        <w:t>20</w:t>
      </w:r>
      <w:r>
        <w:rPr>
          <w:rFonts w:hint="eastAsia" w:ascii="仿宋" w:hAnsi="仿宋" w:eastAsia="仿宋"/>
          <w:sz w:val="28"/>
          <w:szCs w:val="28"/>
          <w:highlight w:val="none"/>
        </w:rPr>
        <w:t>年度在履行社会责任方面做出的具体工作，希望接受集团公司和企业职工的监督和指导，促使公司更好地履行和担负社会责任。</w:t>
      </w:r>
    </w:p>
    <w:p>
      <w:pPr>
        <w:spacing w:before="120" w:beforeLines="50" w:after="120" w:afterLines="50"/>
        <w:outlineLvl w:val="1"/>
        <w:rPr>
          <w:rFonts w:ascii="仿宋" w:hAnsi="仿宋" w:eastAsia="仿宋"/>
          <w:b/>
          <w:bCs/>
          <w:sz w:val="32"/>
          <w:szCs w:val="32"/>
          <w:highlight w:val="none"/>
        </w:rPr>
      </w:pPr>
      <w:r>
        <w:rPr>
          <w:rFonts w:hint="eastAsia" w:ascii="仿宋" w:hAnsi="仿宋" w:eastAsia="仿宋"/>
          <w:b/>
          <w:bCs/>
          <w:sz w:val="32"/>
          <w:szCs w:val="32"/>
          <w:highlight w:val="none"/>
        </w:rPr>
        <w:t>时间范围</w:t>
      </w:r>
    </w:p>
    <w:p>
      <w:pPr>
        <w:pStyle w:val="34"/>
        <w:rPr>
          <w:highlight w:val="none"/>
        </w:rPr>
      </w:pPr>
      <w:r>
        <w:rPr>
          <w:rFonts w:hint="eastAsia"/>
          <w:highlight w:val="none"/>
        </w:rPr>
        <w:t>报告中的20</w:t>
      </w:r>
      <w:r>
        <w:rPr>
          <w:rFonts w:hint="eastAsia"/>
          <w:highlight w:val="none"/>
          <w:lang w:val="en-US" w:eastAsia="zh-CN"/>
        </w:rPr>
        <w:t>20</w:t>
      </w:r>
      <w:r>
        <w:rPr>
          <w:rFonts w:hint="eastAsia"/>
          <w:highlight w:val="none"/>
        </w:rPr>
        <w:t>年指20</w:t>
      </w:r>
      <w:r>
        <w:rPr>
          <w:rFonts w:hint="eastAsia"/>
          <w:highlight w:val="none"/>
          <w:lang w:val="en-US" w:eastAsia="zh-CN"/>
        </w:rPr>
        <w:t>20</w:t>
      </w:r>
      <w:r>
        <w:rPr>
          <w:rFonts w:hint="eastAsia"/>
          <w:highlight w:val="none"/>
        </w:rPr>
        <w:t>年1月1日-12月31日，部分内容适当追溯以往年份。</w:t>
      </w:r>
    </w:p>
    <w:p>
      <w:pPr>
        <w:spacing w:before="120" w:beforeLines="50" w:after="120" w:afterLines="50"/>
        <w:outlineLvl w:val="1"/>
        <w:rPr>
          <w:rFonts w:ascii="仿宋" w:hAnsi="仿宋" w:eastAsia="仿宋"/>
          <w:b/>
          <w:bCs/>
          <w:sz w:val="32"/>
          <w:szCs w:val="32"/>
          <w:highlight w:val="none"/>
        </w:rPr>
      </w:pPr>
      <w:r>
        <w:rPr>
          <w:rFonts w:hint="eastAsia" w:ascii="仿宋" w:hAnsi="仿宋" w:eastAsia="仿宋"/>
          <w:b/>
          <w:bCs/>
          <w:sz w:val="32"/>
          <w:szCs w:val="32"/>
          <w:highlight w:val="none"/>
        </w:rPr>
        <w:t>数据来源</w:t>
      </w:r>
    </w:p>
    <w:p>
      <w:pPr>
        <w:spacing w:line="360"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环保发电有限公司各子公司年报，其他数据来源公司内部文件和公司各部门信息统计。</w:t>
      </w:r>
    </w:p>
    <w:p>
      <w:pPr>
        <w:rPr>
          <w:highlight w:val="none"/>
        </w:rPr>
      </w:pPr>
    </w:p>
    <w:p>
      <w:pPr>
        <w:rPr>
          <w:highlight w:val="none"/>
        </w:rPr>
        <w:sectPr>
          <w:footerReference r:id="rId4" w:type="first"/>
          <w:footerReference r:id="rId3" w:type="default"/>
          <w:pgSz w:w="11906" w:h="16838"/>
          <w:pgMar w:top="1440" w:right="1797" w:bottom="1440" w:left="1797" w:header="851" w:footer="992" w:gutter="0"/>
          <w:pgNumType w:start="1"/>
          <w:cols w:space="425" w:num="1"/>
          <w:docGrid w:linePitch="312" w:charSpace="0"/>
        </w:sectPr>
      </w:pPr>
      <w:bookmarkStart w:id="4" w:name="_Toc32933548"/>
    </w:p>
    <w:p>
      <w:pPr>
        <w:pStyle w:val="3"/>
        <w:numPr>
          <w:ilvl w:val="0"/>
          <w:numId w:val="0"/>
        </w:numPr>
        <w:spacing w:before="240" w:after="240"/>
        <w:rPr>
          <w:highlight w:val="none"/>
        </w:rPr>
      </w:pPr>
      <w:bookmarkStart w:id="5" w:name="_Toc33176282"/>
      <w:bookmarkStart w:id="6" w:name="_Toc32950326"/>
      <w:r>
        <w:rPr>
          <w:rFonts w:hint="eastAsia"/>
          <w:highlight w:val="none"/>
        </w:rPr>
        <w:t>公司简介</w:t>
      </w:r>
      <w:bookmarkEnd w:id="4"/>
      <w:bookmarkEnd w:id="5"/>
      <w:bookmarkEnd w:id="6"/>
    </w:p>
    <w:p>
      <w:pPr>
        <w:pStyle w:val="34"/>
        <w:rPr>
          <w:highlight w:val="none"/>
        </w:rPr>
      </w:pPr>
      <w:r>
        <w:rPr>
          <w:rFonts w:hint="eastAsia"/>
          <w:highlight w:val="none"/>
        </w:rPr>
        <w:t>安徽皖能环保发电有限公司是安徽省能源集团有限公司（以下简称皖能集团公司）为履行环境保护和节能减排义务，组建成立的新能源板块国有独资企业，注册资本金</w:t>
      </w:r>
      <w:r>
        <w:rPr>
          <w:highlight w:val="none"/>
        </w:rPr>
        <w:t>2</w:t>
      </w:r>
      <w:r>
        <w:rPr>
          <w:rFonts w:hint="eastAsia"/>
          <w:highlight w:val="none"/>
          <w:lang w:val="en-US" w:eastAsia="zh-CN"/>
        </w:rPr>
        <w:t>7</w:t>
      </w:r>
      <w:r>
        <w:rPr>
          <w:highlight w:val="none"/>
        </w:rPr>
        <w:t>.</w:t>
      </w:r>
      <w:r>
        <w:rPr>
          <w:rFonts w:hint="eastAsia"/>
          <w:highlight w:val="none"/>
          <w:lang w:val="en-US" w:eastAsia="zh-CN"/>
        </w:rPr>
        <w:t>5</w:t>
      </w:r>
      <w:r>
        <w:rPr>
          <w:highlight w:val="none"/>
        </w:rPr>
        <w:t>5</w:t>
      </w:r>
      <w:r>
        <w:rPr>
          <w:rFonts w:hint="eastAsia"/>
          <w:highlight w:val="none"/>
        </w:rPr>
        <w:t>亿元，资产总规模</w:t>
      </w:r>
      <w:r>
        <w:rPr>
          <w:rFonts w:hint="eastAsia"/>
          <w:highlight w:val="none"/>
          <w:lang w:val="en-US" w:eastAsia="zh-CN"/>
        </w:rPr>
        <w:t>78.75</w:t>
      </w:r>
      <w:r>
        <w:rPr>
          <w:rFonts w:hint="eastAsia"/>
          <w:highlight w:val="none"/>
        </w:rPr>
        <w:t>亿元，专业从事环保发电项目投资及相关设施的建设、运营、维护。其母公司皖能集团是由安徽省政府出资设立的国有独资公司，是省政府授权的能源投资经营机构和国有资产投资主体。</w:t>
      </w:r>
    </w:p>
    <w:p>
      <w:pPr>
        <w:pStyle w:val="34"/>
        <w:rPr>
          <w:highlight w:val="none"/>
        </w:rPr>
      </w:pPr>
      <w:r>
        <w:rPr>
          <w:rFonts w:hint="eastAsia"/>
          <w:highlight w:val="none"/>
        </w:rPr>
        <w:t>环保发电公司在皖能集团的指导支持下，抓住生态文明建设、加快城镇化国家战略机遇，积极发挥国企环保事业排头兵的作用，以“责任、绿色、专业”行业理念为引领，以建设环保宣教基地、打造城市环保名片为追求，致力将公司发展成为中国固废处理环保领域的优秀企业。公司遵循安徽省政府部署和皖能集团“大能源、大项目、大重组、大开放”四大战略，充分发挥在发电和垃圾焚烧方面的专业优势，积极开展规模化布点建设垃圾焚烧发电厂的工作，目前已逐步形成垃圾发电项目投产一批、在建一批、立项一批、签约一批、跟踪一批的可持续、规模化发展格局。公司已建成投产安庆、淮南、滁州、阜阳、宿州、长丰、定远、临泉、颍上</w:t>
      </w:r>
      <w:r>
        <w:rPr>
          <w:rFonts w:hint="eastAsia"/>
          <w:highlight w:val="none"/>
          <w:lang w:eastAsia="zh-CN"/>
        </w:rPr>
        <w:t>一体化</w:t>
      </w:r>
      <w:r>
        <w:rPr>
          <w:rFonts w:hint="eastAsia"/>
          <w:highlight w:val="none"/>
        </w:rPr>
        <w:t>、</w:t>
      </w:r>
      <w:r>
        <w:rPr>
          <w:rFonts w:hint="eastAsia"/>
          <w:highlight w:val="none"/>
          <w:lang w:eastAsia="zh-CN"/>
        </w:rPr>
        <w:t>蚌埠</w:t>
      </w:r>
      <w:r>
        <w:rPr>
          <w:rFonts w:hint="eastAsia"/>
          <w:highlight w:val="none"/>
        </w:rPr>
        <w:t>、池州</w:t>
      </w:r>
      <w:r>
        <w:rPr>
          <w:rFonts w:hint="eastAsia"/>
          <w:highlight w:val="none"/>
          <w:lang w:eastAsia="zh-CN"/>
        </w:rPr>
        <w:t>、广德、利辛、</w:t>
      </w:r>
      <w:r>
        <w:rPr>
          <w:rFonts w:hint="eastAsia"/>
          <w:highlight w:val="none"/>
        </w:rPr>
        <w:t>等</w:t>
      </w:r>
      <w:r>
        <w:rPr>
          <w:highlight w:val="none"/>
        </w:rPr>
        <w:t>1</w:t>
      </w:r>
      <w:r>
        <w:rPr>
          <w:rFonts w:hint="eastAsia"/>
          <w:highlight w:val="none"/>
          <w:lang w:val="en-US" w:eastAsia="zh-CN"/>
        </w:rPr>
        <w:t>3</w:t>
      </w:r>
      <w:r>
        <w:rPr>
          <w:rFonts w:hint="eastAsia"/>
          <w:highlight w:val="none"/>
        </w:rPr>
        <w:t>个城市生活垃圾焚烧发电厂</w:t>
      </w:r>
      <w:r>
        <w:rPr>
          <w:rFonts w:hint="eastAsia"/>
          <w:highlight w:val="none"/>
          <w:lang w:eastAsia="zh-CN"/>
        </w:rPr>
        <w:t>和</w:t>
      </w:r>
      <w:r>
        <w:rPr>
          <w:rFonts w:hint="eastAsia"/>
          <w:highlight w:val="none"/>
          <w:lang w:val="en-US" w:eastAsia="zh-CN"/>
        </w:rPr>
        <w:t>1个农林生物质焚烧发电厂</w:t>
      </w:r>
      <w:r>
        <w:rPr>
          <w:rFonts w:hint="eastAsia"/>
          <w:highlight w:val="none"/>
        </w:rPr>
        <w:t>，合计年处理垃圾量约</w:t>
      </w:r>
      <w:r>
        <w:rPr>
          <w:rFonts w:hint="eastAsia"/>
          <w:highlight w:val="none"/>
          <w:lang w:val="en-US" w:eastAsia="zh-CN"/>
        </w:rPr>
        <w:t>550</w:t>
      </w:r>
      <w:r>
        <w:rPr>
          <w:rFonts w:hint="eastAsia"/>
          <w:highlight w:val="none"/>
        </w:rPr>
        <w:t>万吨</w:t>
      </w:r>
      <w:r>
        <w:rPr>
          <w:rFonts w:hint="eastAsia"/>
          <w:highlight w:val="none"/>
          <w:lang w:eastAsia="zh-CN"/>
        </w:rPr>
        <w:t>，年处理秸秆量约</w:t>
      </w:r>
      <w:r>
        <w:rPr>
          <w:rFonts w:hint="eastAsia"/>
          <w:highlight w:val="none"/>
          <w:lang w:val="en-US" w:eastAsia="zh-CN"/>
        </w:rPr>
        <w:t>50万吨</w:t>
      </w:r>
      <w:r>
        <w:rPr>
          <w:rFonts w:hint="eastAsia"/>
          <w:highlight w:val="none"/>
        </w:rPr>
        <w:t>。环保发电公司“村（乡镇）收集、乡镇（县）转运、县（市）焚烧”的皖能特色跨区域城乡生活垃圾集中处理模式获得安徽省政府的充分肯定，具有明显的示范效应和显著的推广价值。</w:t>
      </w:r>
    </w:p>
    <w:p>
      <w:pPr>
        <w:pStyle w:val="34"/>
        <w:rPr>
          <w:highlight w:val="none"/>
        </w:rPr>
      </w:pPr>
      <w:r>
        <w:rPr>
          <w:rFonts w:hint="eastAsia"/>
          <w:highlight w:val="none"/>
        </w:rPr>
        <w:t>环保发电公司投资的生活垃圾焚烧发电厂实施园林式、环境友好型景观设计，垃圾输送和处理分别在相对封闭的厂房和全封闭负压设计的垃圾贮坑内进行，实现了垃圾电厂无垃圾、无异味、花园式的现代化垃圾电厂，接待了各级领导、市民和学生前来参观体验、接受环保科普教育，彻底颠覆了他们对垃圾电厂脏乱差，恶臭难闻的最初想象。企业先后被命名为“市民环保宣传教育示范基地”、“校企环保共建单位”、“大学生环保教育实习基地”。在安徽省“三线三边”环境综合治理中，皖能垃圾电厂成为安徽电视台专题宣传片的重要拍摄地，并被列为安徽省唯一一家全国生活垃圾处理项目宣传教育示范基地备选单位。如今，遍布各地的皖能垃圾电厂已成为城市一张张亮丽的绿色名片。</w:t>
      </w:r>
    </w:p>
    <w:p>
      <w:pPr>
        <w:pStyle w:val="34"/>
        <w:rPr>
          <w:highlight w:val="none"/>
        </w:rPr>
      </w:pPr>
      <w:r>
        <w:rPr>
          <w:rFonts w:hint="eastAsia"/>
          <w:highlight w:val="none"/>
        </w:rPr>
        <w:t>通过多个项目的成功运作，环保发电公司品牌优势和专业地位不断巩固，企业软实力在创新引路、合作为媒“新合”文化的支撑下得到迅速提升。作为系统化固废处理服务投资商和运营商，环保发电公司深谙应肩负的社会责任，把“责任、绿色、专业”的发展理念提升到公司战略层面，积极履行社会责任，得到社会的广泛认可，多次获得 “低碳中国暨节能减排突出贡献企业”、“环保创新企业”、“环保产业骨干企业”等荣誉称号。</w:t>
      </w:r>
    </w:p>
    <w:p>
      <w:pPr>
        <w:pStyle w:val="34"/>
        <w:rPr>
          <w:highlight w:val="none"/>
        </w:rPr>
      </w:pPr>
      <w:r>
        <w:rPr>
          <w:rFonts w:hint="eastAsia"/>
          <w:highlight w:val="none"/>
        </w:rPr>
        <w:t>环保发电公司将把握中国环保产业发展的大好时机，围绕自身管理优势、技术优势和规模优势，以建成的固废处理项目为基础通过技术工艺和业务模式的不断创新，持续提升核心竞争力，向环保多领域拓展，通过延伸产业链提升产业地位，努力打造现代化、专业化、规模化和具有国际水准的一流环保企业, 按</w:t>
      </w:r>
      <w:r>
        <w:rPr>
          <w:highlight w:val="none"/>
        </w:rPr>
        <w:t>“高起点设计、高标准建设、高水平管理、高质量效果、高颜值形象”</w:t>
      </w:r>
      <w:r>
        <w:rPr>
          <w:rFonts w:hint="eastAsia"/>
          <w:highlight w:val="none"/>
        </w:rPr>
        <w:t>的工作要求，为实现社会、经济和环境的可持续协调发展做出更大贡献。</w:t>
      </w:r>
    </w:p>
    <w:p>
      <w:pPr>
        <w:jc w:val="left"/>
        <w:rPr>
          <w:rFonts w:ascii="宋体" w:hAnsi="宋体"/>
          <w:sz w:val="28"/>
          <w:szCs w:val="28"/>
          <w:highlight w:val="none"/>
        </w:rPr>
      </w:pPr>
    </w:p>
    <w:p>
      <w:pPr>
        <w:jc w:val="left"/>
        <w:rPr>
          <w:rFonts w:ascii="宋体" w:hAnsi="宋体"/>
          <w:sz w:val="28"/>
          <w:szCs w:val="28"/>
          <w:highlight w:val="none"/>
        </w:rPr>
      </w:pPr>
    </w:p>
    <w:p>
      <w:pPr>
        <w:jc w:val="left"/>
        <w:rPr>
          <w:rFonts w:ascii="宋体" w:hAnsi="宋体"/>
          <w:sz w:val="28"/>
          <w:szCs w:val="28"/>
          <w:highlight w:val="none"/>
        </w:rPr>
        <w:sectPr>
          <w:pgSz w:w="11906" w:h="16838"/>
          <w:pgMar w:top="1440" w:right="1797" w:bottom="1440" w:left="1797" w:header="851" w:footer="992" w:gutter="0"/>
          <w:cols w:space="425" w:num="1"/>
          <w:docGrid w:linePitch="312" w:charSpace="0"/>
        </w:sectPr>
      </w:pPr>
    </w:p>
    <w:p>
      <w:pPr>
        <w:pStyle w:val="3"/>
        <w:spacing w:before="240" w:after="240"/>
        <w:rPr>
          <w:highlight w:val="none"/>
        </w:rPr>
      </w:pPr>
      <w:bookmarkStart w:id="7" w:name="_Toc32933549"/>
      <w:bookmarkStart w:id="8" w:name="_Toc32950327"/>
      <w:bookmarkStart w:id="9" w:name="_Toc33176283"/>
      <w:r>
        <w:rPr>
          <w:rFonts w:hint="eastAsia"/>
          <w:highlight w:val="none"/>
        </w:rPr>
        <w:t>创新发</w:t>
      </w:r>
      <w:r>
        <w:rPr>
          <w:highlight w:val="none"/>
        </w:rPr>
        <w:t>展</w:t>
      </w:r>
      <w:bookmarkEnd w:id="7"/>
      <w:bookmarkEnd w:id="8"/>
      <w:bookmarkEnd w:id="9"/>
    </w:p>
    <w:p>
      <w:pPr>
        <w:pStyle w:val="34"/>
        <w:rPr>
          <w:highlight w:val="none"/>
        </w:rPr>
      </w:pPr>
      <w:r>
        <w:rPr>
          <w:rFonts w:hint="eastAsia"/>
          <w:highlight w:val="none"/>
        </w:rPr>
        <w:t>20</w:t>
      </w:r>
      <w:r>
        <w:rPr>
          <w:rFonts w:hint="eastAsia"/>
          <w:highlight w:val="none"/>
          <w:lang w:val="en-US" w:eastAsia="zh-CN"/>
        </w:rPr>
        <w:t>20</w:t>
      </w:r>
      <w:r>
        <w:rPr>
          <w:rFonts w:hint="eastAsia"/>
          <w:highlight w:val="none"/>
        </w:rPr>
        <w:t>年，环保发电公司一方面积极开展生产经营工作，努力开拓市场，优化业务模式，依法保护职工的合法权益，着力提升职工幸福指数，构筑企业与职工之间的和谐氛围；另一方面，树立和维护诚信、守法、公正的良好形象，依法纳税，主动承担对自然环境、对社会和经济发展的义务，积极维护社会稳定，支持和赞助社会公益事业，关注社会弱势群体的生存环境，扶贫济困，救助灾害。公司已将承担企业社会责任融入到公司的经营发展之中，追求公司、员工、社会的共同进步和发展。</w:t>
      </w:r>
    </w:p>
    <w:p>
      <w:pPr>
        <w:pStyle w:val="4"/>
        <w:spacing w:before="240" w:after="240"/>
        <w:rPr>
          <w:highlight w:val="none"/>
        </w:rPr>
      </w:pPr>
      <w:bookmarkStart w:id="10" w:name="_Toc32950328"/>
      <w:bookmarkStart w:id="11" w:name="_Toc33176284"/>
      <w:bookmarkStart w:id="12" w:name="_Toc32933550"/>
      <w:r>
        <w:rPr>
          <w:rFonts w:hint="eastAsia"/>
          <w:highlight w:val="none"/>
        </w:rPr>
        <w:t>科技创新</w:t>
      </w:r>
      <w:r>
        <w:rPr>
          <w:highlight w:val="none"/>
        </w:rPr>
        <w:t>实践与成效</w:t>
      </w:r>
      <w:bookmarkEnd w:id="10"/>
      <w:bookmarkEnd w:id="11"/>
      <w:bookmarkEnd w:id="12"/>
    </w:p>
    <w:p>
      <w:pPr>
        <w:pStyle w:val="34"/>
        <w:rPr>
          <w:rFonts w:hint="eastAsia" w:ascii="宋体" w:hAnsi="宋体"/>
          <w:bCs/>
          <w:highlight w:val="none"/>
          <w:lang w:eastAsia="zh-CN"/>
        </w:rPr>
      </w:pPr>
      <w:r>
        <w:rPr>
          <w:rFonts w:hint="eastAsia" w:ascii="宋体" w:hAnsi="宋体"/>
          <w:bCs/>
          <w:highlight w:val="none"/>
        </w:rPr>
        <w:t>滁州公司水冷壁顶棚管纳米陶瓷涂层研究及应用</w:t>
      </w:r>
      <w:r>
        <w:rPr>
          <w:rFonts w:hint="eastAsia" w:ascii="宋体" w:hAnsi="宋体"/>
          <w:bCs/>
          <w:highlight w:val="none"/>
          <w:lang w:eastAsia="zh-CN"/>
        </w:rPr>
        <w:t>项目，在1、2号炉检查中发现部分管道存在腐蚀现象，通过采用高温防结焦黑体纳米陶瓷涂料，能够增加换热效率，提高炉管的安全运行寿命，降低因炉管损坏造成机组停运，降低了检修维护成本。</w:t>
      </w:r>
    </w:p>
    <w:p>
      <w:pPr>
        <w:pStyle w:val="34"/>
        <w:rPr>
          <w:rFonts w:hint="eastAsia" w:ascii="宋体" w:hAnsi="宋体"/>
          <w:bCs/>
          <w:highlight w:val="none"/>
          <w:lang w:val="en-US" w:eastAsia="zh-CN"/>
        </w:rPr>
      </w:pPr>
      <w:r>
        <w:rPr>
          <w:rFonts w:hint="eastAsia" w:ascii="宋体" w:hAnsi="宋体"/>
          <w:bCs/>
          <w:highlight w:val="none"/>
          <w:lang w:eastAsia="zh-CN"/>
        </w:rPr>
        <w:t>宿州环保公司臭气综合整治项目，是为解决垃圾的运输、储存、燃烧以及渗滤液的处理过程中产生的臭气二次污染问题</w:t>
      </w:r>
      <w:r>
        <w:rPr>
          <w:rFonts w:hint="eastAsia" w:ascii="宋体" w:hAnsi="宋体"/>
          <w:bCs/>
          <w:highlight w:val="none"/>
          <w:lang w:val="en-US" w:eastAsia="zh-CN"/>
        </w:rPr>
        <w:t>。通过对可能存在臭气泄露的地方进行封堵，对臭气集中区域安装生物除臭装置，使厂区厂界恶臭浓度控制在《恶臭污染物排放标准》厂界标准值中的二级标准值以下，提高厂区环境质量。</w:t>
      </w:r>
    </w:p>
    <w:p>
      <w:pPr>
        <w:pStyle w:val="34"/>
        <w:rPr>
          <w:rFonts w:hint="eastAsia" w:ascii="宋体" w:hAnsi="宋体"/>
          <w:bCs/>
          <w:highlight w:val="none"/>
          <w:lang w:eastAsia="zh-CN"/>
        </w:rPr>
      </w:pPr>
      <w:r>
        <w:rPr>
          <w:rFonts w:hint="eastAsia" w:ascii="宋体" w:hAnsi="宋体"/>
          <w:bCs/>
          <w:highlight w:val="none"/>
          <w:lang w:val="en-US" w:eastAsia="zh-CN"/>
        </w:rPr>
        <w:t>临泉公司1号炉增加长伸缩蒸汽吹灰器项目。由于临泉地区垃圾含灰量较大，导致余热锅炉在运行期间一级蒸发器管排易结灰，烟温超温情况下，结灰现象更为明显。由于该部位在激波吹灰器改造后，无吹灰器对管排进行日常清灰，停炉清灰后运行2个月左右锅炉排烟温度由启动时200℃增长到230℃左右，造成热源损失；随着一级蒸发器管排积灰不断增多，影响焚烧炉整体负压控制，同时飞灰聚集在管排防磨瓦表面，造成防磨瓦高温氧化脱落，对机组长周期运行产生较大影响。为此临泉公司在一级蒸发器进口部位增加两台长伸缩蒸汽吹灰器，由过热蒸汽作为吹扫动力源，对一级蒸发器管排进行吹扫，设备调试期间，首次对管排进行吹扫后效果明显，正常运行期间每天投运一次，锅炉长期排烟温度保持在215℃左右。从启动项目后，月度吨垃圾发电量提升显著，同比增加约17kwh/t。</w:t>
      </w:r>
    </w:p>
    <w:tbl>
      <w:tblPr>
        <w:tblStyle w:val="19"/>
        <w:tblW w:w="0" w:type="auto"/>
        <w:tblInd w:w="0" w:type="dxa"/>
        <w:tblLayout w:type="autofit"/>
        <w:tblCellMar>
          <w:top w:w="0" w:type="dxa"/>
          <w:left w:w="108" w:type="dxa"/>
          <w:bottom w:w="0" w:type="dxa"/>
          <w:right w:w="108" w:type="dxa"/>
        </w:tblCellMar>
      </w:tblPr>
      <w:tblGrid>
        <w:gridCol w:w="4272"/>
        <w:gridCol w:w="4101"/>
      </w:tblGrid>
      <w:tr>
        <w:tblPrEx>
          <w:tblCellMar>
            <w:top w:w="0" w:type="dxa"/>
            <w:left w:w="108" w:type="dxa"/>
            <w:bottom w:w="0" w:type="dxa"/>
            <w:right w:w="108" w:type="dxa"/>
          </w:tblCellMar>
        </w:tblPrEx>
        <w:tc>
          <w:tcPr>
            <w:tcW w:w="4272" w:type="dxa"/>
            <w:shd w:val="clear" w:color="auto" w:fill="auto"/>
          </w:tcPr>
          <w:p>
            <w:pPr>
              <w:pStyle w:val="39"/>
              <w:rPr>
                <w:highlight w:val="none"/>
              </w:rPr>
            </w:pPr>
            <w:r>
              <w:rPr>
                <w:rFonts w:hint="eastAsia" w:ascii="新宋体" w:hAnsi="新宋体" w:eastAsia="新宋体" w:cs="新宋体"/>
                <w:szCs w:val="21"/>
                <w:highlight w:val="none"/>
              </w:rPr>
              <w:drawing>
                <wp:inline distT="0" distB="0" distL="114300" distR="114300">
                  <wp:extent cx="2160270" cy="2520315"/>
                  <wp:effectExtent l="0" t="0" r="11430" b="13335"/>
                  <wp:docPr id="141" name="图片 141" descr="IMG_5180(20200709-124648)"/>
                  <wp:cNvGraphicFramePr/>
                  <a:graphic xmlns:a="http://schemas.openxmlformats.org/drawingml/2006/main">
                    <a:graphicData uri="http://schemas.openxmlformats.org/drawingml/2006/picture">
                      <pic:pic xmlns:pic="http://schemas.openxmlformats.org/drawingml/2006/picture">
                        <pic:nvPicPr>
                          <pic:cNvPr id="141" name="图片 141" descr="IMG_5180(20200709-124648)"/>
                          <pic:cNvPicPr/>
                        </pic:nvPicPr>
                        <pic:blipFill>
                          <a:blip r:embed="rId7"/>
                          <a:stretch>
                            <a:fillRect/>
                          </a:stretch>
                        </pic:blipFill>
                        <pic:spPr>
                          <a:xfrm>
                            <a:off x="0" y="0"/>
                            <a:ext cx="2160270" cy="2520315"/>
                          </a:xfrm>
                          <a:prstGeom prst="rect">
                            <a:avLst/>
                          </a:prstGeom>
                        </pic:spPr>
                      </pic:pic>
                    </a:graphicData>
                  </a:graphic>
                </wp:inline>
              </w:drawing>
            </w:r>
          </w:p>
        </w:tc>
        <w:tc>
          <w:tcPr>
            <w:tcW w:w="4101" w:type="dxa"/>
            <w:shd w:val="clear" w:color="auto" w:fill="auto"/>
          </w:tcPr>
          <w:p>
            <w:pPr>
              <w:pStyle w:val="39"/>
              <w:rPr>
                <w:highlight w:val="none"/>
              </w:rPr>
            </w:pPr>
            <w:r>
              <w:rPr>
                <w:rFonts w:hint="eastAsia" w:ascii="仿宋_GB2312" w:hAnsi="仿宋_GB2312" w:eastAsia="仿宋_GB2312" w:cs="仿宋_GB2312"/>
                <w:b w:val="0"/>
                <w:bCs w:val="0"/>
                <w:sz w:val="32"/>
                <w:szCs w:val="32"/>
                <w:highlight w:val="none"/>
              </w:rPr>
              <w:drawing>
                <wp:inline distT="0" distB="0" distL="114300" distR="114300">
                  <wp:extent cx="2160270" cy="2520315"/>
                  <wp:effectExtent l="0" t="0" r="11430" b="13335"/>
                  <wp:docPr id="10" name="图片 10" descr="6F369382095BD03B8EAD3774579D7E45"/>
                  <wp:cNvGraphicFramePr/>
                  <a:graphic xmlns:a="http://schemas.openxmlformats.org/drawingml/2006/main">
                    <a:graphicData uri="http://schemas.openxmlformats.org/drawingml/2006/picture">
                      <pic:pic xmlns:pic="http://schemas.openxmlformats.org/drawingml/2006/picture">
                        <pic:nvPicPr>
                          <pic:cNvPr id="10" name="图片 10" descr="6F369382095BD03B8EAD3774579D7E45"/>
                          <pic:cNvPicPr/>
                        </pic:nvPicPr>
                        <pic:blipFill>
                          <a:blip r:embed="rId8"/>
                          <a:stretch>
                            <a:fillRect/>
                          </a:stretch>
                        </pic:blipFill>
                        <pic:spPr>
                          <a:xfrm>
                            <a:off x="0" y="0"/>
                            <a:ext cx="2160270" cy="2520315"/>
                          </a:xfrm>
                          <a:prstGeom prst="rect">
                            <a:avLst/>
                          </a:prstGeom>
                        </pic:spPr>
                      </pic:pic>
                    </a:graphicData>
                  </a:graphic>
                </wp:inline>
              </w:drawing>
            </w:r>
          </w:p>
        </w:tc>
      </w:tr>
      <w:tr>
        <w:tblPrEx>
          <w:tblCellMar>
            <w:top w:w="0" w:type="dxa"/>
            <w:left w:w="108" w:type="dxa"/>
            <w:bottom w:w="0" w:type="dxa"/>
            <w:right w:w="108" w:type="dxa"/>
          </w:tblCellMar>
        </w:tblPrEx>
        <w:tc>
          <w:tcPr>
            <w:tcW w:w="4272" w:type="dxa"/>
            <w:shd w:val="clear" w:color="auto" w:fill="auto"/>
          </w:tcPr>
          <w:p>
            <w:pPr>
              <w:pStyle w:val="35"/>
              <w:rPr>
                <w:highlight w:val="none"/>
              </w:rPr>
            </w:pPr>
            <w:r>
              <w:rPr>
                <w:rFonts w:hint="eastAsia"/>
                <w:highlight w:val="none"/>
              </w:rPr>
              <w:t>图</w:t>
            </w:r>
            <w:r>
              <w:rPr>
                <w:rFonts w:hint="eastAsia"/>
                <w:highlight w:val="none"/>
                <w:lang w:val="en-US" w:eastAsia="zh-CN"/>
              </w:rPr>
              <w:t>1</w:t>
            </w:r>
            <w:r>
              <w:rPr>
                <w:highlight w:val="none"/>
              </w:rPr>
              <w:t xml:space="preserve"> </w:t>
            </w:r>
            <w:r>
              <w:rPr>
                <w:rFonts w:hint="eastAsia" w:ascii="宋体" w:hAnsi="宋体"/>
                <w:bCs/>
                <w:highlight w:val="none"/>
              </w:rPr>
              <w:t>滁州公司水冷壁顶棚管纳米陶瓷涂层研究及应用</w:t>
            </w:r>
            <w:r>
              <w:rPr>
                <w:rFonts w:hint="eastAsia" w:ascii="宋体" w:hAnsi="宋体"/>
                <w:bCs/>
                <w:highlight w:val="none"/>
                <w:lang w:eastAsia="zh-CN"/>
              </w:rPr>
              <w:t>项目</w:t>
            </w:r>
          </w:p>
        </w:tc>
        <w:tc>
          <w:tcPr>
            <w:tcW w:w="4101" w:type="dxa"/>
            <w:shd w:val="clear" w:color="auto" w:fill="auto"/>
          </w:tcPr>
          <w:p>
            <w:pPr>
              <w:pStyle w:val="35"/>
              <w:rPr>
                <w:highlight w:val="none"/>
              </w:rPr>
            </w:pPr>
            <w:r>
              <w:rPr>
                <w:rFonts w:hint="eastAsia"/>
                <w:highlight w:val="none"/>
              </w:rPr>
              <w:t>图</w:t>
            </w:r>
            <w:r>
              <w:rPr>
                <w:rFonts w:hint="eastAsia"/>
                <w:highlight w:val="none"/>
                <w:lang w:val="en-US" w:eastAsia="zh-CN"/>
              </w:rPr>
              <w:t>2</w:t>
            </w:r>
            <w:r>
              <w:rPr>
                <w:highlight w:val="none"/>
              </w:rPr>
              <w:t xml:space="preserve"> </w:t>
            </w:r>
            <w:r>
              <w:rPr>
                <w:rFonts w:hint="eastAsia" w:ascii="宋体" w:hAnsi="宋体"/>
                <w:bCs/>
                <w:highlight w:val="none"/>
                <w:lang w:eastAsia="zh-CN"/>
              </w:rPr>
              <w:t>宿州公司臭气综合整治项目</w:t>
            </w:r>
          </w:p>
        </w:tc>
      </w:tr>
      <w:tr>
        <w:tblPrEx>
          <w:tblCellMar>
            <w:top w:w="0" w:type="dxa"/>
            <w:left w:w="108" w:type="dxa"/>
            <w:bottom w:w="0" w:type="dxa"/>
            <w:right w:w="108" w:type="dxa"/>
          </w:tblCellMar>
        </w:tblPrEx>
        <w:tc>
          <w:tcPr>
            <w:tcW w:w="4272" w:type="dxa"/>
            <w:shd w:val="clear" w:color="auto" w:fill="auto"/>
          </w:tcPr>
          <w:p>
            <w:pPr>
              <w:pStyle w:val="35"/>
              <w:rPr>
                <w:rFonts w:hint="eastAsia"/>
                <w:sz w:val="24"/>
                <w:szCs w:val="24"/>
                <w:highlight w:val="none"/>
                <w:lang w:val="en-US" w:eastAsia="zh-CN"/>
              </w:rPr>
            </w:pPr>
            <w:r>
              <w:rPr>
                <w:rFonts w:hint="eastAsia"/>
                <w:sz w:val="24"/>
                <w:szCs w:val="24"/>
                <w:highlight w:val="none"/>
                <w:lang w:val="en-US" w:eastAsia="zh-CN"/>
              </w:rPr>
              <w:drawing>
                <wp:inline distT="0" distB="0" distL="114300" distR="114300">
                  <wp:extent cx="2160270" cy="2520315"/>
                  <wp:effectExtent l="0" t="0" r="11430" b="13335"/>
                  <wp:docPr id="5" name="图片 5" descr="IMG_8722"/>
                  <wp:cNvGraphicFramePr/>
                  <a:graphic xmlns:a="http://schemas.openxmlformats.org/drawingml/2006/main">
                    <a:graphicData uri="http://schemas.openxmlformats.org/drawingml/2006/picture">
                      <pic:pic xmlns:pic="http://schemas.openxmlformats.org/drawingml/2006/picture">
                        <pic:nvPicPr>
                          <pic:cNvPr id="5" name="图片 5" descr="IMG_8722"/>
                          <pic:cNvPicPr/>
                        </pic:nvPicPr>
                        <pic:blipFill>
                          <a:blip r:embed="rId9"/>
                          <a:stretch>
                            <a:fillRect/>
                          </a:stretch>
                        </pic:blipFill>
                        <pic:spPr>
                          <a:xfrm>
                            <a:off x="0" y="0"/>
                            <a:ext cx="2160270" cy="2520315"/>
                          </a:xfrm>
                          <a:prstGeom prst="rect">
                            <a:avLst/>
                          </a:prstGeom>
                        </pic:spPr>
                      </pic:pic>
                    </a:graphicData>
                  </a:graphic>
                </wp:inline>
              </w:drawing>
            </w:r>
          </w:p>
          <w:p>
            <w:pPr>
              <w:pStyle w:val="35"/>
              <w:rPr>
                <w:rFonts w:hint="default"/>
                <w:highlight w:val="none"/>
                <w:lang w:val="en-US"/>
              </w:rPr>
            </w:pPr>
            <w:r>
              <w:rPr>
                <w:rFonts w:hint="eastAsia" w:ascii="仿宋" w:hAnsi="仿宋" w:eastAsia="仿宋" w:cs="仿宋"/>
                <w:sz w:val="21"/>
                <w:szCs w:val="21"/>
                <w:highlight w:val="none"/>
                <w:lang w:val="en-US" w:eastAsia="zh-CN"/>
              </w:rPr>
              <w:t>图3</w:t>
            </w:r>
            <w:r>
              <w:rPr>
                <w:rFonts w:hint="eastAsia" w:ascii="仿宋" w:hAnsi="仿宋" w:cs="仿宋"/>
                <w:sz w:val="21"/>
                <w:szCs w:val="21"/>
                <w:highlight w:val="none"/>
                <w:lang w:val="en-US" w:eastAsia="zh-CN"/>
              </w:rPr>
              <w:t xml:space="preserve"> </w:t>
            </w:r>
            <w:r>
              <w:rPr>
                <w:rFonts w:hint="eastAsia" w:ascii="宋体" w:hAnsi="宋体"/>
                <w:bCs/>
                <w:highlight w:val="none"/>
                <w:lang w:val="en-US" w:eastAsia="zh-CN"/>
              </w:rPr>
              <w:t>临泉公司1号炉增加长伸缩蒸汽吹灰器项目-锅炉北侧蒸汽吹灰器</w:t>
            </w:r>
          </w:p>
        </w:tc>
        <w:tc>
          <w:tcPr>
            <w:tcW w:w="4101" w:type="dxa"/>
            <w:shd w:val="clear" w:color="auto" w:fill="auto"/>
          </w:tcPr>
          <w:p>
            <w:pPr>
              <w:pStyle w:val="35"/>
              <w:rPr>
                <w:rFonts w:hint="eastAsia"/>
                <w:sz w:val="24"/>
                <w:szCs w:val="24"/>
                <w:highlight w:val="none"/>
                <w:lang w:val="en-US" w:eastAsia="zh-CN"/>
              </w:rPr>
            </w:pPr>
            <w:r>
              <w:rPr>
                <w:rFonts w:hint="eastAsia"/>
                <w:sz w:val="24"/>
                <w:szCs w:val="24"/>
                <w:highlight w:val="none"/>
                <w:lang w:val="en-US" w:eastAsia="zh-CN"/>
              </w:rPr>
              <w:drawing>
                <wp:inline distT="0" distB="0" distL="114300" distR="114300">
                  <wp:extent cx="2160270" cy="2520315"/>
                  <wp:effectExtent l="0" t="0" r="11430" b="13335"/>
                  <wp:docPr id="6" name="图片 6" descr="IMG_8721"/>
                  <wp:cNvGraphicFramePr/>
                  <a:graphic xmlns:a="http://schemas.openxmlformats.org/drawingml/2006/main">
                    <a:graphicData uri="http://schemas.openxmlformats.org/drawingml/2006/picture">
                      <pic:pic xmlns:pic="http://schemas.openxmlformats.org/drawingml/2006/picture">
                        <pic:nvPicPr>
                          <pic:cNvPr id="6" name="图片 6" descr="IMG_8721"/>
                          <pic:cNvPicPr/>
                        </pic:nvPicPr>
                        <pic:blipFill>
                          <a:blip r:embed="rId10"/>
                          <a:stretch>
                            <a:fillRect/>
                          </a:stretch>
                        </pic:blipFill>
                        <pic:spPr>
                          <a:xfrm>
                            <a:off x="0" y="0"/>
                            <a:ext cx="2160270" cy="2520315"/>
                          </a:xfrm>
                          <a:prstGeom prst="rect">
                            <a:avLst/>
                          </a:prstGeom>
                        </pic:spPr>
                      </pic:pic>
                    </a:graphicData>
                  </a:graphic>
                </wp:inline>
              </w:drawing>
            </w:r>
          </w:p>
          <w:p>
            <w:pPr>
              <w:pStyle w:val="35"/>
              <w:rPr>
                <w:rFonts w:hint="default"/>
                <w:sz w:val="24"/>
                <w:szCs w:val="24"/>
                <w:highlight w:val="none"/>
                <w:lang w:val="en-US" w:eastAsia="zh-CN"/>
              </w:rPr>
            </w:pPr>
            <w:r>
              <w:rPr>
                <w:rFonts w:hint="eastAsia" w:ascii="仿宋" w:hAnsi="仿宋" w:eastAsia="仿宋" w:cs="仿宋"/>
                <w:sz w:val="21"/>
                <w:szCs w:val="21"/>
                <w:highlight w:val="none"/>
                <w:lang w:val="en-US" w:eastAsia="zh-CN"/>
              </w:rPr>
              <w:t>图4</w:t>
            </w:r>
            <w:r>
              <w:rPr>
                <w:rFonts w:hint="eastAsia" w:ascii="宋体" w:hAnsi="宋体"/>
                <w:bCs/>
                <w:highlight w:val="none"/>
                <w:lang w:val="en-US" w:eastAsia="zh-CN"/>
              </w:rPr>
              <w:t>临泉公司1号炉增加长伸缩蒸汽吹灰器项目-锅炉南侧蒸汽吹灰器</w:t>
            </w:r>
          </w:p>
        </w:tc>
      </w:tr>
    </w:tbl>
    <w:p>
      <w:pPr>
        <w:pStyle w:val="4"/>
        <w:spacing w:before="240" w:after="240"/>
        <w:rPr>
          <w:highlight w:val="none"/>
        </w:rPr>
      </w:pPr>
      <w:bookmarkStart w:id="13" w:name="_Toc32933551"/>
      <w:bookmarkStart w:id="14" w:name="_Toc33176285"/>
      <w:bookmarkStart w:id="15" w:name="_Toc32950329"/>
      <w:r>
        <w:rPr>
          <w:rFonts w:hint="eastAsia"/>
          <w:highlight w:val="none"/>
        </w:rPr>
        <w:t>改革创新</w:t>
      </w:r>
      <w:r>
        <w:rPr>
          <w:highlight w:val="none"/>
        </w:rPr>
        <w:t>实践与成效</w:t>
      </w:r>
      <w:bookmarkEnd w:id="13"/>
      <w:bookmarkEnd w:id="14"/>
      <w:bookmarkEnd w:id="15"/>
    </w:p>
    <w:p>
      <w:pPr>
        <w:pStyle w:val="34"/>
        <w:rPr>
          <w:highlight w:val="none"/>
        </w:rPr>
      </w:pPr>
      <w:r>
        <w:rPr>
          <w:rFonts w:hint="eastAsia"/>
          <w:highlight w:val="none"/>
        </w:rPr>
        <w:t>环保发电公司为进一步提高内部管理水平，规范内部控制，在公司党委的领导下，20</w:t>
      </w:r>
      <w:r>
        <w:rPr>
          <w:rFonts w:hint="eastAsia"/>
          <w:highlight w:val="none"/>
          <w:lang w:val="en-US" w:eastAsia="zh-CN"/>
        </w:rPr>
        <w:t>20</w:t>
      </w:r>
      <w:r>
        <w:rPr>
          <w:rFonts w:hint="eastAsia"/>
          <w:highlight w:val="none"/>
        </w:rPr>
        <w:t>年在2</w:t>
      </w:r>
      <w:r>
        <w:rPr>
          <w:highlight w:val="none"/>
        </w:rPr>
        <w:t>01</w:t>
      </w:r>
      <w:r>
        <w:rPr>
          <w:rFonts w:hint="eastAsia"/>
          <w:highlight w:val="none"/>
          <w:lang w:val="en-US" w:eastAsia="zh-CN"/>
        </w:rPr>
        <w:t>9</w:t>
      </w:r>
      <w:r>
        <w:rPr>
          <w:rFonts w:hint="eastAsia"/>
          <w:highlight w:val="none"/>
        </w:rPr>
        <w:t>年基础上进一步开展了内部规章制度梳理、修订和完善工作，进一步建立健全了各项内部管理规章制度，进一步规范了企业的经营管理，使企业的各项经济活动和经营管理有章可循。</w:t>
      </w:r>
    </w:p>
    <w:p>
      <w:pPr>
        <w:pStyle w:val="35"/>
        <w:ind w:firstLine="422" w:firstLineChars="200"/>
        <w:jc w:val="left"/>
        <w:rPr>
          <w:rFonts w:hint="eastAsia" w:ascii="仿宋" w:hAnsi="仿宋" w:eastAsia="仿宋" w:cs="仿宋"/>
          <w:b w:val="0"/>
          <w:bCs/>
          <w:sz w:val="28"/>
          <w:szCs w:val="28"/>
          <w:highlight w:val="none"/>
        </w:rPr>
      </w:pPr>
      <w:r>
        <w:rPr>
          <w:rFonts w:hint="eastAsia" w:ascii="仿宋" w:hAnsi="仿宋" w:eastAsia="仿宋" w:cs="仿宋"/>
          <w:b/>
          <w:bCs w:val="0"/>
          <w:sz w:val="21"/>
          <w:szCs w:val="21"/>
          <w:highlight w:val="none"/>
        </w:rPr>
        <w:drawing>
          <wp:anchor distT="0" distB="0" distL="114300" distR="114300" simplePos="0" relativeHeight="251659264" behindDoc="0" locked="0" layoutInCell="1" allowOverlap="1">
            <wp:simplePos x="0" y="0"/>
            <wp:positionH relativeFrom="column">
              <wp:posOffset>92075</wp:posOffset>
            </wp:positionH>
            <wp:positionV relativeFrom="paragraph">
              <wp:posOffset>1079500</wp:posOffset>
            </wp:positionV>
            <wp:extent cx="5266690" cy="3125470"/>
            <wp:effectExtent l="0" t="0" r="10160" b="17780"/>
            <wp:wrapSquare wrapText="bothSides"/>
            <wp:docPr id="4" name="图片 4" descr="DSC0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01502"/>
                    <pic:cNvPicPr>
                      <a:picLocks noChangeAspect="1"/>
                    </pic:cNvPicPr>
                  </pic:nvPicPr>
                  <pic:blipFill>
                    <a:blip r:embed="rId11"/>
                    <a:stretch>
                      <a:fillRect/>
                    </a:stretch>
                  </pic:blipFill>
                  <pic:spPr>
                    <a:xfrm>
                      <a:off x="0" y="0"/>
                      <a:ext cx="5266690" cy="3125470"/>
                    </a:xfrm>
                    <a:prstGeom prst="rect">
                      <a:avLst/>
                    </a:prstGeom>
                  </pic:spPr>
                </pic:pic>
              </a:graphicData>
            </a:graphic>
          </wp:anchor>
        </w:drawing>
      </w:r>
      <w:r>
        <w:rPr>
          <w:rFonts w:hint="eastAsia" w:ascii="仿宋" w:hAnsi="仿宋" w:eastAsia="仿宋" w:cs="仿宋"/>
          <w:b w:val="0"/>
          <w:bCs/>
          <w:sz w:val="28"/>
          <w:szCs w:val="28"/>
          <w:highlight w:val="none"/>
        </w:rPr>
        <w:t>2020年12月30日，中共安徽皖能环保发电有限公司第一次代表大会胜利召开，来自环保发电公司20个党支部的98名党员代表参加了此次会议。</w:t>
      </w:r>
    </w:p>
    <w:p>
      <w:pPr>
        <w:pStyle w:val="35"/>
        <w:ind w:firstLine="422" w:firstLineChars="200"/>
        <w:jc w:val="center"/>
        <w:rPr>
          <w:rFonts w:hint="eastAsia" w:ascii="仿宋" w:hAnsi="仿宋" w:eastAsia="仿宋" w:cs="仿宋"/>
          <w:b w:val="0"/>
          <w:bCs/>
          <w:sz w:val="28"/>
          <w:szCs w:val="28"/>
          <w:highlight w:val="none"/>
        </w:rPr>
      </w:pPr>
      <w:r>
        <w:rPr>
          <w:rFonts w:hint="eastAsia" w:ascii="仿宋" w:hAnsi="仿宋" w:cs="仿宋"/>
          <w:b/>
          <w:bCs w:val="0"/>
          <w:sz w:val="21"/>
          <w:szCs w:val="21"/>
          <w:highlight w:val="none"/>
          <w:lang w:eastAsia="zh-CN"/>
        </w:rPr>
        <w:t>图</w:t>
      </w:r>
      <w:r>
        <w:rPr>
          <w:rFonts w:hint="eastAsia" w:ascii="仿宋" w:hAnsi="仿宋" w:cs="仿宋"/>
          <w:b/>
          <w:bCs w:val="0"/>
          <w:sz w:val="21"/>
          <w:szCs w:val="21"/>
          <w:highlight w:val="none"/>
          <w:lang w:val="en-US" w:eastAsia="zh-CN"/>
        </w:rPr>
        <w:t>5 中共安徽皖能环保发电有限公司第一次代表大会胜利召开</w:t>
      </w:r>
      <w:r>
        <w:rPr>
          <w:rFonts w:hint="eastAsia" w:ascii="仿宋" w:hAnsi="仿宋" w:eastAsia="仿宋" w:cs="仿宋"/>
          <w:b/>
          <w:bCs w:val="0"/>
          <w:sz w:val="21"/>
          <w:szCs w:val="21"/>
          <w:highlight w:val="none"/>
        </w:rPr>
        <w:br w:type="textWrapping"/>
      </w:r>
      <w:r>
        <w:rPr>
          <w:rFonts w:hint="eastAsia" w:ascii="仿宋" w:hAnsi="仿宋" w:cs="仿宋"/>
          <w:b w:val="0"/>
          <w:bCs/>
          <w:sz w:val="28"/>
          <w:szCs w:val="28"/>
          <w:highlight w:val="none"/>
          <w:lang w:val="en-US" w:eastAsia="zh-CN"/>
        </w:rPr>
        <w:t xml:space="preserve">    </w:t>
      </w:r>
      <w:r>
        <w:rPr>
          <w:rFonts w:hint="eastAsia" w:ascii="仿宋" w:hAnsi="仿宋" w:eastAsia="仿宋" w:cs="仿宋"/>
          <w:b w:val="0"/>
          <w:bCs/>
          <w:sz w:val="28"/>
          <w:szCs w:val="28"/>
          <w:highlight w:val="none"/>
        </w:rPr>
        <w:t>这次大会的召开，是在收官“十三五”、谋划“十四五”的关键阶段，是公司处在重大战略机遇期，开启全面建设高质量发展新征程的关键时刻召开的一次十分重要的大会。是在总结过去五年工作的基础上，提出今后五年环保发电公司改革、发展、稳定和党建工作的总体思想、工作方针和发展目标，进一步统一思想，明确任务，推动公司各项事业的健康有序发展。同时，选举产生第一届党的委员会和纪律检查委员会，为进一步加强党的执政能力建设，创新党建工作，推动中心工作，实现公司战略规划奠定坚实的组织基础和领导保证。</w:t>
      </w:r>
    </w:p>
    <w:p>
      <w:pPr>
        <w:pStyle w:val="35"/>
        <w:jc w:val="both"/>
        <w:rPr>
          <w:highlight w:val="none"/>
        </w:rPr>
      </w:pPr>
    </w:p>
    <w:p>
      <w:pPr>
        <w:pStyle w:val="4"/>
        <w:spacing w:before="240" w:after="240"/>
        <w:rPr>
          <w:highlight w:val="none"/>
        </w:rPr>
      </w:pPr>
      <w:bookmarkStart w:id="16" w:name="_Toc32933552"/>
      <w:bookmarkStart w:id="17" w:name="_Toc32950330"/>
      <w:bookmarkStart w:id="18" w:name="_Toc33176286"/>
      <w:r>
        <w:rPr>
          <w:rFonts w:hint="eastAsia"/>
          <w:highlight w:val="none"/>
        </w:rPr>
        <w:t>信息化建设</w:t>
      </w:r>
      <w:r>
        <w:rPr>
          <w:highlight w:val="none"/>
        </w:rPr>
        <w:t>实践与成效</w:t>
      </w:r>
      <w:bookmarkEnd w:id="16"/>
      <w:bookmarkEnd w:id="17"/>
      <w:bookmarkEnd w:id="18"/>
    </w:p>
    <w:p>
      <w:pPr>
        <w:pStyle w:val="34"/>
        <w:rPr>
          <w:rFonts w:hint="eastAsia"/>
          <w:highlight w:val="none"/>
        </w:rPr>
      </w:pPr>
      <w:r>
        <w:rPr>
          <w:rFonts w:hint="eastAsia"/>
          <w:highlight w:val="none"/>
        </w:rPr>
        <w:t>建设集团财务管控系统和环保发电共享中心是推动集团财务转型升级的重要举措，是集团公司在探索管理创新实践上的一次跃步，对提升集团公司管控能力、防范化解重大风险具有十分重要的意义。项目自2</w:t>
      </w:r>
      <w:r>
        <w:rPr>
          <w:highlight w:val="none"/>
        </w:rPr>
        <w:t>019</w:t>
      </w:r>
      <w:r>
        <w:rPr>
          <w:rFonts w:hint="eastAsia"/>
          <w:highlight w:val="none"/>
        </w:rPr>
        <w:t>年7月19日召开启动会以来，环保发电公司领导高度重视，项目建设管控组组精心组织，按照“总体规划、分步实施、先易后难、循序渐进”的原则，通过周密的项目计划、紧凑的进度跟踪、及时的问题处理、定期的项目例会等手段，在一定程度上确保了系统实施进度。面对繁重的工作任务，克服人员少、协调工作繁重等困难，完成了项目调研、数据准备、流程制订、系统测试、模拟运行、人员培训等前期准备工作，长丰、安庆、颍上公司供应链模块于10月份上线试运行；滁州、定远公司供应链模块于11月份上线试运行；</w:t>
      </w:r>
      <w:r>
        <w:rPr>
          <w:rFonts w:hint="eastAsia"/>
          <w:bCs/>
          <w:highlight w:val="none"/>
        </w:rPr>
        <w:t>淮南、宿州、阜阳、临泉、蚌埠、池州公司供应链模块于1</w:t>
      </w:r>
      <w:r>
        <w:rPr>
          <w:bCs/>
          <w:highlight w:val="none"/>
        </w:rPr>
        <w:t>2</w:t>
      </w:r>
      <w:r>
        <w:rPr>
          <w:rFonts w:hint="eastAsia"/>
          <w:bCs/>
          <w:highlight w:val="none"/>
        </w:rPr>
        <w:t>月份上线试运行。</w:t>
      </w:r>
      <w:r>
        <w:rPr>
          <w:rFonts w:hint="eastAsia"/>
          <w:highlight w:val="none"/>
        </w:rPr>
        <w:t>长丰、长生质、龙泉山、枞阳、利辛、宣城公司报账模块于12月初上线试运行，提前完成阶段性建设工作目标，环保发电公司本部及所属各子公司供应链模块及报账模块于12月底前全线上线试运行。</w:t>
      </w:r>
      <w:bookmarkStart w:id="19" w:name="_Toc32933553"/>
    </w:p>
    <w:p>
      <w:pPr>
        <w:pStyle w:val="34"/>
        <w:rPr>
          <w:rFonts w:hint="eastAsia"/>
          <w:highlight w:val="none"/>
        </w:rPr>
      </w:pPr>
      <w:r>
        <w:rPr>
          <w:rFonts w:hint="eastAsia"/>
          <w:highlight w:val="none"/>
          <w:lang w:val="en-US" w:eastAsia="zh-CN"/>
        </w:rPr>
        <w:t>2020年</w:t>
      </w:r>
      <w:r>
        <w:rPr>
          <w:rFonts w:hint="eastAsia"/>
          <w:highlight w:val="none"/>
        </w:rPr>
        <w:t>8月21日集团公司财务管控系统上线暨环保发电共享中心揭牌仪式在新能大厦举行。朱宜存、邵德慧、黄笑华、李忠良共同为环保发电财务共享中心揭牌，并在环保发电总经理张为义、远光公司副总裁陈婷陪同下参观了财务共享中心。会计核算组、资金管理组、总账报表组、运营管理组七名工作人员分别通过BI展示、实景操作、PPT精心讲解了共享中心的运作模式，介绍了共享中心试运行以来为环保本部及17家省内外子公司提供的高效、便捷、集中的财务服务及未来发展方向。环保发电公司将通过财务共享中心建设强化财务管控，推动财务转型，从而实现“智慧共享，融合创新”的业财融合理念。</w:t>
      </w:r>
    </w:p>
    <w:tbl>
      <w:tblPr>
        <w:tblStyle w:val="19"/>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shd w:val="clear" w:color="auto" w:fill="auto"/>
          </w:tcPr>
          <w:p>
            <w:pPr>
              <w:jc w:val="center"/>
              <w:rPr>
                <w:rFonts w:ascii="黑体" w:hAnsi="黑体" w:eastAsia="黑体"/>
                <w:b/>
                <w:bCs/>
                <w:sz w:val="18"/>
                <w:szCs w:val="18"/>
                <w:highlight w:val="none"/>
              </w:rPr>
            </w:pPr>
            <w:r>
              <w:rPr>
                <w:rFonts w:ascii="黑体" w:hAnsi="黑体" w:eastAsia="黑体"/>
                <w:b/>
                <w:szCs w:val="21"/>
                <w:highlight w:val="none"/>
              </w:rPr>
              <w:drawing>
                <wp:inline distT="0" distB="0" distL="0" distR="0">
                  <wp:extent cx="2520315" cy="2160270"/>
                  <wp:effectExtent l="0" t="0" r="13335" b="11430"/>
                  <wp:docPr id="12" name="图片 14"/>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20315" cy="2160270"/>
                          </a:xfrm>
                          <a:prstGeom prst="rect">
                            <a:avLst/>
                          </a:prstGeom>
                          <a:noFill/>
                          <a:ln>
                            <a:noFill/>
                          </a:ln>
                        </pic:spPr>
                      </pic:pic>
                    </a:graphicData>
                  </a:graphic>
                </wp:inline>
              </w:drawing>
            </w:r>
          </w:p>
        </w:tc>
        <w:tc>
          <w:tcPr>
            <w:tcW w:w="4264" w:type="dxa"/>
            <w:shd w:val="clear" w:color="auto" w:fill="auto"/>
          </w:tcPr>
          <w:p>
            <w:pPr>
              <w:jc w:val="center"/>
              <w:rPr>
                <w:rFonts w:ascii="黑体" w:hAnsi="黑体" w:eastAsia="黑体"/>
                <w:b/>
                <w:bCs/>
                <w:sz w:val="18"/>
                <w:szCs w:val="18"/>
                <w:highlight w:val="none"/>
              </w:rPr>
            </w:pPr>
            <w:r>
              <w:rPr>
                <w:rFonts w:ascii="黑体" w:hAnsi="黑体" w:eastAsia="黑体"/>
                <w:b/>
                <w:szCs w:val="21"/>
                <w:highlight w:val="none"/>
              </w:rPr>
              <w:drawing>
                <wp:inline distT="0" distB="0" distL="0" distR="0">
                  <wp:extent cx="2520315" cy="2160270"/>
                  <wp:effectExtent l="0" t="0" r="13335" b="11430"/>
                  <wp:docPr id="13" name="图片 36"/>
                  <wp:cNvGraphicFramePr/>
                  <a:graphic xmlns:a="http://schemas.openxmlformats.org/drawingml/2006/main">
                    <a:graphicData uri="http://schemas.openxmlformats.org/drawingml/2006/picture">
                      <pic:pic xmlns:pic="http://schemas.openxmlformats.org/drawingml/2006/picture">
                        <pic:nvPicPr>
                          <pic:cNvPr id="13" name="图片 36"/>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20315" cy="216027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4" w:type="dxa"/>
            <w:shd w:val="clear" w:color="auto" w:fill="auto"/>
          </w:tcPr>
          <w:p>
            <w:pPr>
              <w:pStyle w:val="35"/>
              <w:rPr>
                <w:highlight w:val="none"/>
              </w:rPr>
            </w:pPr>
            <w:r>
              <w:rPr>
                <w:rFonts w:hint="eastAsia"/>
                <w:highlight w:val="none"/>
              </w:rPr>
              <w:t>图</w:t>
            </w:r>
            <w:r>
              <w:rPr>
                <w:rFonts w:hint="eastAsia"/>
                <w:highlight w:val="none"/>
                <w:lang w:val="en-US" w:eastAsia="zh-CN"/>
              </w:rPr>
              <w:t>6</w:t>
            </w:r>
            <w:r>
              <w:rPr>
                <w:highlight w:val="none"/>
              </w:rPr>
              <w:t xml:space="preserve"> </w:t>
            </w:r>
            <w:r>
              <w:rPr>
                <w:rFonts w:hint="eastAsia"/>
                <w:highlight w:val="none"/>
              </w:rPr>
              <w:t>财务共享中心</w:t>
            </w:r>
          </w:p>
        </w:tc>
        <w:tc>
          <w:tcPr>
            <w:tcW w:w="4264" w:type="dxa"/>
            <w:shd w:val="clear" w:color="auto" w:fill="auto"/>
          </w:tcPr>
          <w:p>
            <w:pPr>
              <w:pStyle w:val="35"/>
              <w:rPr>
                <w:highlight w:val="none"/>
              </w:rPr>
            </w:pPr>
            <w:r>
              <w:rPr>
                <w:rFonts w:hint="eastAsia"/>
                <w:highlight w:val="none"/>
              </w:rPr>
              <w:t>图</w:t>
            </w:r>
            <w:r>
              <w:rPr>
                <w:rFonts w:hint="eastAsia"/>
                <w:highlight w:val="none"/>
                <w:lang w:val="en-US" w:eastAsia="zh-CN"/>
              </w:rPr>
              <w:t>7</w:t>
            </w:r>
            <w:r>
              <w:rPr>
                <w:highlight w:val="none"/>
              </w:rPr>
              <w:t xml:space="preserve"> </w:t>
            </w:r>
            <w:r>
              <w:rPr>
                <w:rFonts w:hint="eastAsia"/>
                <w:highlight w:val="none"/>
              </w:rPr>
              <w:t>财务共享中心</w:t>
            </w:r>
          </w:p>
        </w:tc>
      </w:tr>
      <w:tr>
        <w:tblPrEx>
          <w:tblCellMar>
            <w:top w:w="0" w:type="dxa"/>
            <w:left w:w="108" w:type="dxa"/>
            <w:bottom w:w="0" w:type="dxa"/>
            <w:right w:w="108" w:type="dxa"/>
          </w:tblCellMar>
        </w:tblPrEx>
        <w:tc>
          <w:tcPr>
            <w:tcW w:w="4264" w:type="dxa"/>
            <w:shd w:val="clear" w:color="auto" w:fill="auto"/>
          </w:tcPr>
          <w:p>
            <w:pPr>
              <w:jc w:val="center"/>
              <w:rPr>
                <w:rFonts w:hint="eastAsia" w:ascii="黑体" w:hAnsi="黑体" w:eastAsia="黑体"/>
                <w:b/>
                <w:bCs/>
                <w:sz w:val="18"/>
                <w:szCs w:val="18"/>
                <w:highlight w:val="none"/>
                <w:lang w:eastAsia="zh-CN"/>
              </w:rPr>
            </w:pPr>
            <w:r>
              <w:rPr>
                <w:rFonts w:hint="eastAsia" w:ascii="黑体" w:hAnsi="黑体" w:eastAsia="黑体"/>
                <w:b/>
                <w:bCs/>
                <w:sz w:val="18"/>
                <w:szCs w:val="18"/>
                <w:highlight w:val="none"/>
                <w:lang w:eastAsia="zh-CN"/>
              </w:rPr>
              <w:drawing>
                <wp:inline distT="0" distB="0" distL="114300" distR="114300">
                  <wp:extent cx="2520315" cy="2160270"/>
                  <wp:effectExtent l="0" t="0" r="13335" b="11430"/>
                  <wp:docPr id="7" name="图片 7" descr="1111"/>
                  <wp:cNvGraphicFramePr/>
                  <a:graphic xmlns:a="http://schemas.openxmlformats.org/drawingml/2006/main">
                    <a:graphicData uri="http://schemas.openxmlformats.org/drawingml/2006/picture">
                      <pic:pic xmlns:pic="http://schemas.openxmlformats.org/drawingml/2006/picture">
                        <pic:nvPicPr>
                          <pic:cNvPr id="7" name="图片 7" descr="1111"/>
                          <pic:cNvPicPr/>
                        </pic:nvPicPr>
                        <pic:blipFill>
                          <a:blip r:embed="rId14"/>
                          <a:stretch>
                            <a:fillRect/>
                          </a:stretch>
                        </pic:blipFill>
                        <pic:spPr>
                          <a:xfrm>
                            <a:off x="0" y="0"/>
                            <a:ext cx="2520315" cy="2160270"/>
                          </a:xfrm>
                          <a:prstGeom prst="rect">
                            <a:avLst/>
                          </a:prstGeom>
                        </pic:spPr>
                      </pic:pic>
                    </a:graphicData>
                  </a:graphic>
                </wp:inline>
              </w:drawing>
            </w:r>
          </w:p>
        </w:tc>
        <w:tc>
          <w:tcPr>
            <w:tcW w:w="4264" w:type="dxa"/>
            <w:shd w:val="clear" w:color="auto" w:fill="auto"/>
          </w:tcPr>
          <w:p>
            <w:pPr>
              <w:jc w:val="center"/>
              <w:rPr>
                <w:rFonts w:hint="eastAsia" w:ascii="黑体" w:hAnsi="黑体" w:eastAsia="黑体"/>
                <w:b/>
                <w:bCs/>
                <w:sz w:val="18"/>
                <w:szCs w:val="18"/>
                <w:highlight w:val="none"/>
                <w:lang w:eastAsia="zh-CN"/>
              </w:rPr>
            </w:pPr>
            <w:r>
              <w:rPr>
                <w:rFonts w:hint="eastAsia" w:ascii="黑体" w:hAnsi="黑体" w:eastAsia="黑体"/>
                <w:b/>
                <w:bCs/>
                <w:sz w:val="18"/>
                <w:szCs w:val="18"/>
                <w:highlight w:val="none"/>
                <w:lang w:eastAsia="zh-CN"/>
              </w:rPr>
              <w:drawing>
                <wp:inline distT="0" distB="0" distL="114300" distR="114300">
                  <wp:extent cx="2520315" cy="2160270"/>
                  <wp:effectExtent l="0" t="0" r="13335" b="11430"/>
                  <wp:docPr id="8" name="图片 8" descr="222222"/>
                  <wp:cNvGraphicFramePr/>
                  <a:graphic xmlns:a="http://schemas.openxmlformats.org/drawingml/2006/main">
                    <a:graphicData uri="http://schemas.openxmlformats.org/drawingml/2006/picture">
                      <pic:pic xmlns:pic="http://schemas.openxmlformats.org/drawingml/2006/picture">
                        <pic:nvPicPr>
                          <pic:cNvPr id="8" name="图片 8" descr="222222"/>
                          <pic:cNvPicPr/>
                        </pic:nvPicPr>
                        <pic:blipFill>
                          <a:blip r:embed="rId15"/>
                          <a:stretch>
                            <a:fillRect/>
                          </a:stretch>
                        </pic:blipFill>
                        <pic:spPr>
                          <a:xfrm>
                            <a:off x="0" y="0"/>
                            <a:ext cx="2520315" cy="2160270"/>
                          </a:xfrm>
                          <a:prstGeom prst="rect">
                            <a:avLst/>
                          </a:prstGeom>
                        </pic:spPr>
                      </pic:pic>
                    </a:graphicData>
                  </a:graphic>
                </wp:inline>
              </w:drawing>
            </w:r>
          </w:p>
        </w:tc>
      </w:tr>
      <w:tr>
        <w:tblPrEx>
          <w:tblCellMar>
            <w:top w:w="0" w:type="dxa"/>
            <w:left w:w="108" w:type="dxa"/>
            <w:bottom w:w="0" w:type="dxa"/>
            <w:right w:w="108" w:type="dxa"/>
          </w:tblCellMar>
        </w:tblPrEx>
        <w:tc>
          <w:tcPr>
            <w:tcW w:w="4264" w:type="dxa"/>
            <w:shd w:val="clear" w:color="auto" w:fill="auto"/>
          </w:tcPr>
          <w:p>
            <w:pPr>
              <w:pStyle w:val="35"/>
              <w:rPr>
                <w:rFonts w:hint="eastAsia" w:eastAsia="仿宋"/>
                <w:highlight w:val="none"/>
                <w:lang w:eastAsia="zh-CN"/>
              </w:rPr>
            </w:pPr>
            <w:r>
              <w:rPr>
                <w:rFonts w:hint="eastAsia"/>
                <w:highlight w:val="none"/>
              </w:rPr>
              <w:t>图</w:t>
            </w:r>
            <w:r>
              <w:rPr>
                <w:rFonts w:hint="eastAsia"/>
                <w:highlight w:val="none"/>
                <w:lang w:val="en-US" w:eastAsia="zh-CN"/>
              </w:rPr>
              <w:t>8</w:t>
            </w:r>
            <w:r>
              <w:rPr>
                <w:highlight w:val="none"/>
              </w:rPr>
              <w:t xml:space="preserve"> </w:t>
            </w:r>
            <w:r>
              <w:rPr>
                <w:rFonts w:hint="eastAsia"/>
                <w:highlight w:val="none"/>
                <w:lang w:eastAsia="zh-CN"/>
              </w:rPr>
              <w:t>财务共享中心揭幕式</w:t>
            </w:r>
          </w:p>
        </w:tc>
        <w:tc>
          <w:tcPr>
            <w:tcW w:w="4264" w:type="dxa"/>
            <w:shd w:val="clear" w:color="auto" w:fill="auto"/>
          </w:tcPr>
          <w:p>
            <w:pPr>
              <w:pStyle w:val="35"/>
              <w:rPr>
                <w:highlight w:val="none"/>
              </w:rPr>
            </w:pPr>
            <w:r>
              <w:rPr>
                <w:rFonts w:hint="eastAsia"/>
                <w:highlight w:val="none"/>
              </w:rPr>
              <w:t>图</w:t>
            </w:r>
            <w:r>
              <w:rPr>
                <w:rFonts w:hint="eastAsia"/>
                <w:highlight w:val="none"/>
                <w:lang w:val="en-US" w:eastAsia="zh-CN"/>
              </w:rPr>
              <w:t>9</w:t>
            </w:r>
            <w:r>
              <w:rPr>
                <w:highlight w:val="none"/>
              </w:rPr>
              <w:t xml:space="preserve"> </w:t>
            </w:r>
            <w:r>
              <w:rPr>
                <w:rFonts w:hint="eastAsia"/>
                <w:highlight w:val="none"/>
                <w:lang w:eastAsia="zh-CN"/>
              </w:rPr>
              <w:t>财务共享中心揭幕式</w:t>
            </w:r>
          </w:p>
        </w:tc>
      </w:tr>
    </w:tbl>
    <w:p>
      <w:pPr>
        <w:rPr>
          <w:highlight w:val="none"/>
        </w:rPr>
        <w:sectPr>
          <w:pgSz w:w="11906" w:h="16838"/>
          <w:pgMar w:top="1440" w:right="1797" w:bottom="1440" w:left="1797" w:header="851" w:footer="992" w:gutter="0"/>
          <w:cols w:space="425" w:num="1"/>
          <w:docGrid w:linePitch="312" w:charSpace="0"/>
        </w:sectPr>
      </w:pPr>
    </w:p>
    <w:p>
      <w:pPr>
        <w:pStyle w:val="3"/>
        <w:spacing w:before="240" w:after="240"/>
        <w:rPr>
          <w:highlight w:val="none"/>
        </w:rPr>
      </w:pPr>
      <w:bookmarkStart w:id="20" w:name="_Toc32950331"/>
      <w:bookmarkStart w:id="21" w:name="_Toc33176287"/>
      <w:r>
        <w:rPr>
          <w:rFonts w:hint="eastAsia"/>
          <w:highlight w:val="none"/>
        </w:rPr>
        <w:t>协调发展</w:t>
      </w:r>
      <w:bookmarkEnd w:id="19"/>
      <w:bookmarkEnd w:id="20"/>
      <w:bookmarkEnd w:id="21"/>
    </w:p>
    <w:p>
      <w:pPr>
        <w:pStyle w:val="4"/>
        <w:spacing w:before="240" w:after="240"/>
        <w:rPr>
          <w:highlight w:val="none"/>
        </w:rPr>
      </w:pPr>
      <w:bookmarkStart w:id="22" w:name="_Toc32950332"/>
      <w:bookmarkStart w:id="23" w:name="_Toc33176288"/>
      <w:bookmarkStart w:id="24" w:name="_Toc32933554"/>
      <w:r>
        <w:rPr>
          <w:rFonts w:hint="eastAsia"/>
          <w:highlight w:val="none"/>
        </w:rPr>
        <w:t>诚信经营</w:t>
      </w:r>
      <w:bookmarkEnd w:id="22"/>
      <w:bookmarkEnd w:id="23"/>
      <w:bookmarkEnd w:id="24"/>
    </w:p>
    <w:p>
      <w:pPr>
        <w:pStyle w:val="34"/>
        <w:rPr>
          <w:rFonts w:hint="eastAsia" w:eastAsia="仿宋"/>
          <w:b/>
          <w:highlight w:val="none"/>
          <w:lang w:eastAsia="zh-CN"/>
        </w:rPr>
      </w:pPr>
      <w:r>
        <w:rPr>
          <w:rFonts w:hint="eastAsia"/>
          <w:highlight w:val="none"/>
        </w:rPr>
        <w:t>企业发展离不开社会的支持，离不开公众的认可，更离不开自身的诚实守信。随着时代的发展，品牌的影响力已不容忽视，而品牌的建立基础是诚信。诚信是企业经营的一种资本，是企业发展的无形推动力，对企业的长远发展具有巨大的促进作用。因此，依靠诚信经营，树立企业良好形象，进而提升企业竞争能力已成为企业发展所必须具备的前提条件。诚信的内涵也正向更深层次发展，它是建立在公民意识之上的一种“公德”，它包括对社会的诚信，对员工的诚信、对合作伙伴的诚信</w:t>
      </w:r>
      <w:r>
        <w:rPr>
          <w:rFonts w:hint="eastAsia"/>
          <w:highlight w:val="none"/>
          <w:lang w:eastAsia="zh-CN"/>
        </w:rPr>
        <w:t>。</w:t>
      </w:r>
    </w:p>
    <w:p>
      <w:pPr>
        <w:pStyle w:val="34"/>
        <w:rPr>
          <w:rFonts w:cs="Arial"/>
          <w:color w:val="000000"/>
          <w:highlight w:val="none"/>
          <w:shd w:val="clear" w:color="auto" w:fill="FFFFFF"/>
        </w:rPr>
      </w:pPr>
      <w:r>
        <w:rPr>
          <w:rFonts w:hint="eastAsia"/>
          <w:highlight w:val="none"/>
        </w:rPr>
        <w:t>为了使公司在规模、质量和类别上满足社会有关各方面的需要，提高企业的信用意识和信用管理水平，降低企业交易成本，提高企业资源配置效率，形成良好的信用秩序和信用环境，有力地推动信用交易的扩大和经济的发展。</w:t>
      </w:r>
      <w:r>
        <w:rPr>
          <w:rFonts w:hint="eastAsia" w:cs="Arial"/>
          <w:highlight w:val="none"/>
          <w:shd w:val="clear" w:color="auto" w:fill="FFFFFF"/>
        </w:rPr>
        <w:t>环保发电公司</w:t>
      </w:r>
      <w:r>
        <w:rPr>
          <w:rFonts w:hint="eastAsia" w:cs="Arial"/>
          <w:color w:val="000000"/>
          <w:highlight w:val="none"/>
          <w:shd w:val="clear" w:color="auto" w:fill="FFFFFF"/>
        </w:rPr>
        <w:t>不断加强全面预算管理，从绩效目标分解、预算完成情况的统计及跟踪、重要指标的监控、考核评价及整改等方面加大工作力度，实现了全面预算的闭环管理，充分发挥了全面预算管理统领作用。积极</w:t>
      </w:r>
      <w:r>
        <w:rPr>
          <w:rFonts w:hint="eastAsia"/>
          <w:highlight w:val="none"/>
        </w:rPr>
        <w:t>了解政府对企业的扶持政策和优惠政策，</w:t>
      </w:r>
      <w:r>
        <w:rPr>
          <w:rFonts w:hint="eastAsia" w:cs="Arial"/>
          <w:color w:val="000000"/>
          <w:highlight w:val="none"/>
          <w:shd w:val="clear" w:color="auto" w:fill="FFFFFF"/>
        </w:rPr>
        <w:t>做</w:t>
      </w:r>
      <w:r>
        <w:rPr>
          <w:rFonts w:hint="eastAsia"/>
          <w:highlight w:val="none"/>
        </w:rPr>
        <w:t>好增值税的及征及退返还工作，申报中央预算内资金，</w:t>
      </w:r>
      <w:r>
        <w:rPr>
          <w:rFonts w:hint="eastAsia" w:cs="Arial"/>
          <w:color w:val="000000"/>
          <w:highlight w:val="none"/>
          <w:shd w:val="clear" w:color="auto" w:fill="FFFFFF"/>
        </w:rPr>
        <w:t>保证资金供应，控制资金成本，积极履行企业责任，按时足额缴纳税费。公司始终把加强资金管理，</w:t>
      </w:r>
      <w:r>
        <w:rPr>
          <w:rFonts w:hint="eastAsia"/>
          <w:highlight w:val="none"/>
        </w:rPr>
        <w:t>强化过程控制，针对货币资金使用，定期对公司货币资金进行内部自查、自检工作，保证资金收付安全、准确，</w:t>
      </w:r>
      <w:r>
        <w:rPr>
          <w:rFonts w:hint="eastAsia" w:cs="Arial"/>
          <w:color w:val="000000"/>
          <w:highlight w:val="none"/>
          <w:shd w:val="clear" w:color="auto" w:fill="FFFFFF"/>
        </w:rPr>
        <w:t>确保生产经营目标的实现作为第一要务。</w:t>
      </w:r>
    </w:p>
    <w:p>
      <w:pPr>
        <w:pStyle w:val="4"/>
        <w:spacing w:before="240" w:after="240"/>
        <w:rPr>
          <w:highlight w:val="none"/>
          <w:shd w:val="clear" w:color="auto" w:fill="FFFFFF"/>
        </w:rPr>
      </w:pPr>
      <w:bookmarkStart w:id="25" w:name="_Toc32950333"/>
      <w:bookmarkStart w:id="26" w:name="_Toc33176289"/>
      <w:bookmarkStart w:id="27" w:name="_Toc32933555"/>
      <w:r>
        <w:rPr>
          <w:rFonts w:hint="eastAsia"/>
          <w:highlight w:val="none"/>
          <w:shd w:val="clear" w:color="auto" w:fill="FFFFFF"/>
        </w:rPr>
        <w:t>责任经营</w:t>
      </w:r>
      <w:bookmarkEnd w:id="25"/>
      <w:bookmarkEnd w:id="26"/>
      <w:bookmarkEnd w:id="27"/>
    </w:p>
    <w:p>
      <w:pPr>
        <w:pStyle w:val="34"/>
        <w:rPr>
          <w:highlight w:val="none"/>
          <w:shd w:val="clear" w:color="auto" w:fill="FFFFFF"/>
        </w:rPr>
      </w:pPr>
      <w:r>
        <w:rPr>
          <w:highlight w:val="none"/>
          <w:shd w:val="clear" w:color="auto" w:fill="FFFFFF"/>
        </w:rPr>
        <w:t>截至20</w:t>
      </w:r>
      <w:r>
        <w:rPr>
          <w:rFonts w:hint="eastAsia"/>
          <w:highlight w:val="none"/>
          <w:shd w:val="clear" w:color="auto" w:fill="FFFFFF"/>
          <w:lang w:val="en-US" w:eastAsia="zh-CN"/>
        </w:rPr>
        <w:t>20</w:t>
      </w:r>
      <w:r>
        <w:rPr>
          <w:highlight w:val="none"/>
          <w:shd w:val="clear" w:color="auto" w:fill="FFFFFF"/>
        </w:rPr>
        <w:t>年12月31日，环保发电公司拥有14个已投入运营的生物质焚烧发电项目，固废处理能力累计</w:t>
      </w:r>
      <w:r>
        <w:rPr>
          <w:rFonts w:hint="eastAsia"/>
          <w:highlight w:val="none"/>
          <w:shd w:val="clear" w:color="auto" w:fill="FFFFFF"/>
          <w:lang w:val="en-US" w:eastAsia="zh-CN"/>
        </w:rPr>
        <w:t>10950</w:t>
      </w:r>
      <w:r>
        <w:rPr>
          <w:highlight w:val="none"/>
          <w:shd w:val="clear" w:color="auto" w:fill="FFFFFF"/>
        </w:rPr>
        <w:t>吨/日，装机容量达2</w:t>
      </w:r>
      <w:r>
        <w:rPr>
          <w:rFonts w:hint="eastAsia"/>
          <w:highlight w:val="none"/>
          <w:shd w:val="clear" w:color="auto" w:fill="FFFFFF"/>
          <w:lang w:val="en-US" w:eastAsia="zh-CN"/>
        </w:rPr>
        <w:t>30</w:t>
      </w:r>
      <w:r>
        <w:rPr>
          <w:highlight w:val="none"/>
          <w:shd w:val="clear" w:color="auto" w:fill="FFFFFF"/>
        </w:rPr>
        <w:t>MW，其中生活垃圾焚烧处理能力</w:t>
      </w:r>
      <w:r>
        <w:rPr>
          <w:rFonts w:hint="eastAsia"/>
          <w:highlight w:val="none"/>
          <w:shd w:val="clear" w:color="auto" w:fill="FFFFFF"/>
          <w:lang w:val="en-US" w:eastAsia="zh-CN"/>
        </w:rPr>
        <w:t>10250</w:t>
      </w:r>
      <w:r>
        <w:rPr>
          <w:highlight w:val="none"/>
          <w:shd w:val="clear" w:color="auto" w:fill="FFFFFF"/>
        </w:rPr>
        <w:t>吨/日。20</w:t>
      </w:r>
      <w:r>
        <w:rPr>
          <w:rFonts w:hint="eastAsia"/>
          <w:highlight w:val="none"/>
          <w:shd w:val="clear" w:color="auto" w:fill="FFFFFF"/>
          <w:lang w:val="en-US" w:eastAsia="zh-CN"/>
        </w:rPr>
        <w:t>20</w:t>
      </w:r>
      <w:r>
        <w:rPr>
          <w:highlight w:val="none"/>
          <w:shd w:val="clear" w:color="auto" w:fill="FFFFFF"/>
        </w:rPr>
        <w:t xml:space="preserve">年全年垃圾处理量达 </w:t>
      </w:r>
      <w:r>
        <w:rPr>
          <w:rFonts w:hint="eastAsia"/>
          <w:highlight w:val="none"/>
          <w:shd w:val="clear" w:color="auto" w:fill="FFFFFF"/>
          <w:lang w:val="en-US" w:eastAsia="zh-CN"/>
        </w:rPr>
        <w:t>550</w:t>
      </w:r>
      <w:r>
        <w:rPr>
          <w:highlight w:val="none"/>
          <w:shd w:val="clear" w:color="auto" w:fill="FFFFFF"/>
        </w:rPr>
        <w:t>万吨，</w:t>
      </w:r>
      <w:r>
        <w:rPr>
          <w:rFonts w:hint="eastAsia"/>
          <w:highlight w:val="none"/>
          <w:shd w:val="clear" w:color="auto" w:fill="FFFFFF"/>
          <w:lang w:eastAsia="zh-CN"/>
        </w:rPr>
        <w:t>秸秆处理量约</w:t>
      </w:r>
      <w:r>
        <w:rPr>
          <w:rFonts w:hint="eastAsia"/>
          <w:highlight w:val="none"/>
          <w:shd w:val="clear" w:color="auto" w:fill="FFFFFF"/>
          <w:lang w:val="en-US" w:eastAsia="zh-CN"/>
        </w:rPr>
        <w:t>50万吨，</w:t>
      </w:r>
      <w:r>
        <w:rPr>
          <w:highlight w:val="none"/>
          <w:shd w:val="clear" w:color="auto" w:fill="FFFFFF"/>
        </w:rPr>
        <w:t>发电量</w:t>
      </w:r>
      <w:r>
        <w:rPr>
          <w:rFonts w:hint="eastAsia"/>
          <w:highlight w:val="none"/>
          <w:shd w:val="clear" w:color="auto" w:fill="FFFFFF"/>
          <w:lang w:val="en-US" w:eastAsia="zh-CN"/>
        </w:rPr>
        <w:t>14.37</w:t>
      </w:r>
      <w:r>
        <w:rPr>
          <w:highlight w:val="none"/>
          <w:shd w:val="clear" w:color="auto" w:fill="FFFFFF"/>
        </w:rPr>
        <w:t>亿千瓦时。此外，截至20</w:t>
      </w:r>
      <w:r>
        <w:rPr>
          <w:rFonts w:hint="eastAsia"/>
          <w:highlight w:val="none"/>
          <w:shd w:val="clear" w:color="auto" w:fill="FFFFFF"/>
          <w:lang w:val="en-US" w:eastAsia="zh-CN"/>
        </w:rPr>
        <w:t>20</w:t>
      </w:r>
      <w:r>
        <w:rPr>
          <w:highlight w:val="none"/>
          <w:shd w:val="clear" w:color="auto" w:fill="FFFFFF"/>
        </w:rPr>
        <w:t>年 12月31日，公司还有</w:t>
      </w:r>
      <w:r>
        <w:rPr>
          <w:rFonts w:hint="eastAsia"/>
          <w:highlight w:val="none"/>
          <w:shd w:val="clear" w:color="auto" w:fill="FFFFFF"/>
          <w:lang w:val="en-US" w:eastAsia="zh-CN"/>
        </w:rPr>
        <w:t>6</w:t>
      </w:r>
      <w:r>
        <w:rPr>
          <w:highlight w:val="none"/>
          <w:shd w:val="clear" w:color="auto" w:fill="FFFFFF"/>
        </w:rPr>
        <w:t>个在建/筹建生活垃圾焚烧发电项目，</w:t>
      </w:r>
      <w:r>
        <w:rPr>
          <w:rFonts w:hint="eastAsia"/>
          <w:highlight w:val="none"/>
          <w:shd w:val="clear" w:color="auto" w:fill="FFFFFF"/>
          <w:lang w:val="en-US" w:eastAsia="zh-CN"/>
        </w:rPr>
        <w:t>2</w:t>
      </w:r>
      <w:r>
        <w:rPr>
          <w:highlight w:val="none"/>
          <w:shd w:val="clear" w:color="auto" w:fill="FFFFFF"/>
        </w:rPr>
        <w:t>个在建/筹建农林生物质资源化项目，1个筹建餐厨垃圾项目。在所有项目全部建成后，固废处理总能力将突破2万吨/日。20</w:t>
      </w:r>
      <w:r>
        <w:rPr>
          <w:rFonts w:hint="eastAsia"/>
          <w:highlight w:val="none"/>
          <w:shd w:val="clear" w:color="auto" w:fill="FFFFFF"/>
          <w:lang w:val="en-US" w:eastAsia="zh-CN"/>
        </w:rPr>
        <w:t>20</w:t>
      </w:r>
      <w:r>
        <w:rPr>
          <w:highlight w:val="none"/>
          <w:shd w:val="clear" w:color="auto" w:fill="FFFFFF"/>
        </w:rPr>
        <w:t>年度，环保发电公司夯实垃圾焚烧发电的主营业务，在保证稳定运营的同时，积极研究并拓展上下游产业链纵向延伸，全面有序推进其他在建及筹建的垃圾焚烧发电项目，把握好稳增长与促转型的平衡，处理好扩规模 与争效益的关系，稳中求进，以进促稳，推进公司可持续高质量发展。</w:t>
      </w:r>
    </w:p>
    <w:p>
      <w:pPr>
        <w:pStyle w:val="34"/>
        <w:rPr>
          <w:highlight w:val="none"/>
          <w:shd w:val="clear" w:color="auto" w:fill="FFFFFF"/>
        </w:rPr>
      </w:pPr>
      <w:r>
        <w:rPr>
          <w:rFonts w:hint="eastAsia"/>
          <w:highlight w:val="none"/>
          <w:shd w:val="clear" w:color="auto" w:fill="FFFFFF"/>
        </w:rPr>
        <w:t>在安全、环保方面公司注重投入，已建成投运的生活垃圾焚烧项目各项环保排放指标远低于国家标准</w:t>
      </w:r>
      <w:r>
        <w:rPr>
          <w:highlight w:val="none"/>
          <w:shd w:val="clear" w:color="auto" w:fill="FFFFFF"/>
        </w:rPr>
        <w:t>。</w:t>
      </w:r>
      <w:r>
        <w:rPr>
          <w:rFonts w:hint="eastAsia"/>
          <w:highlight w:val="none"/>
          <w:shd w:val="clear" w:color="auto" w:fill="FFFFFF"/>
        </w:rPr>
        <w:t>合肥长丰项目各项环境污染物排放指标优于欧盟标准，达到超低洁净排放，实现我们与政府签订特许经营协议的承诺。</w:t>
      </w:r>
    </w:p>
    <w:p>
      <w:pPr>
        <w:pStyle w:val="39"/>
        <w:rPr>
          <w:highlight w:val="none"/>
          <w:shd w:val="clear" w:color="auto" w:fill="FFFFFF"/>
        </w:rPr>
      </w:pPr>
      <w:r>
        <w:rPr>
          <w:highlight w:val="none"/>
          <w:shd w:val="clear" w:color="auto" w:fill="FFFFFF"/>
        </w:rPr>
        <w:drawing>
          <wp:inline distT="0" distB="0" distL="0" distR="0">
            <wp:extent cx="4682490" cy="285369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82490" cy="2853690"/>
                    </a:xfrm>
                    <a:prstGeom prst="rect">
                      <a:avLst/>
                    </a:prstGeom>
                    <a:noFill/>
                    <a:ln>
                      <a:noFill/>
                    </a:ln>
                  </pic:spPr>
                </pic:pic>
              </a:graphicData>
            </a:graphic>
          </wp:inline>
        </w:drawing>
      </w:r>
    </w:p>
    <w:p>
      <w:pPr>
        <w:pStyle w:val="35"/>
        <w:rPr>
          <w:highlight w:val="none"/>
        </w:rPr>
      </w:pPr>
      <w:r>
        <w:rPr>
          <w:rFonts w:hint="eastAsia"/>
          <w:highlight w:val="none"/>
        </w:rPr>
        <w:t>图</w:t>
      </w:r>
      <w:r>
        <w:rPr>
          <w:rFonts w:hint="eastAsia"/>
          <w:highlight w:val="none"/>
          <w:lang w:val="en-US" w:eastAsia="zh-CN"/>
        </w:rPr>
        <w:t>10</w:t>
      </w:r>
      <w:r>
        <w:rPr>
          <w:rFonts w:hint="eastAsia"/>
          <w:highlight w:val="none"/>
        </w:rPr>
        <w:t xml:space="preserve"> 长丰公司航拍</w:t>
      </w:r>
    </w:p>
    <w:p>
      <w:pPr>
        <w:rPr>
          <w:highlight w:val="none"/>
        </w:rPr>
      </w:pPr>
      <w:bookmarkStart w:id="28" w:name="_Toc32933556"/>
    </w:p>
    <w:p>
      <w:pPr>
        <w:rPr>
          <w:highlight w:val="none"/>
        </w:rPr>
        <w:sectPr>
          <w:pgSz w:w="11906" w:h="16838"/>
          <w:pgMar w:top="1440" w:right="1797" w:bottom="1440" w:left="1797" w:header="851" w:footer="992" w:gutter="0"/>
          <w:cols w:space="425" w:num="1"/>
          <w:docGrid w:linePitch="312" w:charSpace="0"/>
        </w:sectPr>
      </w:pPr>
    </w:p>
    <w:p>
      <w:pPr>
        <w:pStyle w:val="3"/>
        <w:spacing w:before="240" w:after="240"/>
        <w:rPr>
          <w:szCs w:val="28"/>
          <w:highlight w:val="none"/>
        </w:rPr>
      </w:pPr>
      <w:bookmarkStart w:id="29" w:name="_Toc32950334"/>
      <w:bookmarkStart w:id="30" w:name="_Toc33176290"/>
      <w:r>
        <w:rPr>
          <w:rFonts w:hint="eastAsia"/>
          <w:szCs w:val="28"/>
          <w:highlight w:val="none"/>
        </w:rPr>
        <w:t>和</w:t>
      </w:r>
      <w:r>
        <w:rPr>
          <w:szCs w:val="28"/>
          <w:highlight w:val="none"/>
        </w:rPr>
        <w:t>谐发展</w:t>
      </w:r>
      <w:bookmarkEnd w:id="28"/>
      <w:bookmarkEnd w:id="29"/>
      <w:bookmarkEnd w:id="30"/>
    </w:p>
    <w:p>
      <w:pPr>
        <w:pStyle w:val="34"/>
        <w:rPr>
          <w:highlight w:val="none"/>
        </w:rPr>
      </w:pPr>
      <w:r>
        <w:rPr>
          <w:rFonts w:hint="eastAsia"/>
          <w:highlight w:val="none"/>
        </w:rPr>
        <w:t>和谐发展是科学发展观要义的体现,也是我司秉承的最重要的发展理念。企业要发展，社会要发展。企业的发展决定着社会的发展，社会的发展又直接影响着企业的发展。只有高度发展、高度文明的社会才能使企业得到最充分最全面的发展，也只有全面发展了的企业才能更好地推动社会的发展。20</w:t>
      </w:r>
      <w:r>
        <w:rPr>
          <w:rFonts w:hint="eastAsia"/>
          <w:highlight w:val="none"/>
          <w:lang w:val="en-US" w:eastAsia="zh-CN"/>
        </w:rPr>
        <w:t>20</w:t>
      </w:r>
      <w:r>
        <w:rPr>
          <w:rFonts w:hint="eastAsia"/>
          <w:highlight w:val="none"/>
        </w:rPr>
        <w:t>年我司以人为本关注民生，促进社会公平正义，让全体人民共享改革发展成果。</w:t>
      </w:r>
    </w:p>
    <w:p>
      <w:pPr>
        <w:pStyle w:val="4"/>
        <w:spacing w:before="240" w:after="240"/>
        <w:rPr>
          <w:rFonts w:ascii="宋体" w:hAnsi="宋体"/>
          <w:highlight w:val="none"/>
        </w:rPr>
      </w:pPr>
      <w:bookmarkStart w:id="31" w:name="_Toc32933557"/>
      <w:bookmarkStart w:id="32" w:name="_Toc32950335"/>
      <w:bookmarkStart w:id="33" w:name="_Toc33176291"/>
      <w:r>
        <w:rPr>
          <w:rFonts w:hint="eastAsia" w:ascii="宋体" w:hAnsi="宋体"/>
          <w:highlight w:val="none"/>
        </w:rPr>
        <w:t>积极落实安全规章制度，强化安全防范措施</w:t>
      </w:r>
      <w:bookmarkEnd w:id="31"/>
      <w:bookmarkEnd w:id="32"/>
      <w:bookmarkEnd w:id="33"/>
    </w:p>
    <w:p>
      <w:pPr>
        <w:pStyle w:val="34"/>
        <w:rPr>
          <w:rFonts w:hint="eastAsia"/>
          <w:highlight w:val="none"/>
        </w:rPr>
      </w:pPr>
      <w:r>
        <w:rPr>
          <w:rFonts w:hint="eastAsia"/>
          <w:highlight w:val="none"/>
        </w:rPr>
        <w:t>20</w:t>
      </w:r>
      <w:r>
        <w:rPr>
          <w:rFonts w:hint="eastAsia"/>
          <w:highlight w:val="none"/>
          <w:lang w:val="en-US" w:eastAsia="zh-CN"/>
        </w:rPr>
        <w:t>20</w:t>
      </w:r>
      <w:r>
        <w:rPr>
          <w:rFonts w:hint="eastAsia"/>
          <w:highlight w:val="none"/>
        </w:rPr>
        <w:t>年环保公司全面开展安全生产整顿。</w:t>
      </w:r>
    </w:p>
    <w:p>
      <w:pPr>
        <w:pStyle w:val="34"/>
        <w:rPr>
          <w:rFonts w:hint="eastAsia"/>
          <w:highlight w:val="none"/>
        </w:rPr>
      </w:pPr>
      <w:r>
        <w:rPr>
          <w:rFonts w:hint="eastAsia"/>
          <w:highlight w:val="none"/>
          <w:lang w:val="en-US" w:eastAsia="zh-CN"/>
        </w:rPr>
        <w:t>2020</w:t>
      </w:r>
      <w:r>
        <w:rPr>
          <w:rFonts w:hint="eastAsia"/>
          <w:highlight w:val="none"/>
        </w:rPr>
        <w:t>年疫情发生后，</w:t>
      </w:r>
      <w:r>
        <w:rPr>
          <w:rFonts w:hint="eastAsia"/>
          <w:highlight w:val="none"/>
          <w:lang w:eastAsia="zh-CN"/>
        </w:rPr>
        <w:t>龙泉山</w:t>
      </w:r>
      <w:r>
        <w:rPr>
          <w:rFonts w:hint="eastAsia"/>
          <w:highlight w:val="none"/>
        </w:rPr>
        <w:t>公司坚决贯彻省政府、集团及环保公司对疫情防控工作的相关要求，提高政治站位，把疫情防控工作作为当前重要任务，以对公众、对员工负责的态度，全力以赴做好新型冠状病毒肺炎疫情的防控处置工作。公司在第一时间成立了疫情防控工作领导小组，全面落实疫情防控工作，制定并落实疫情防控工作方案和应急专项方案，一手抓疫情防控，一手抓复工复产，并积极协调各方安排专车从四川接回务工人员，以保证项目正常复工复产；当前疫情防控已进入常态化阶段，龙泉山公司严格落实疫情防控相关工作方案要求，坚持所有人员日报告制度，加强对项目现场流动人员的监控与管理</w:t>
      </w:r>
      <w:r>
        <w:rPr>
          <w:rFonts w:hint="eastAsia"/>
          <w:highlight w:val="none"/>
          <w:lang w:eastAsia="zh-CN"/>
        </w:rPr>
        <w:t>。</w:t>
      </w:r>
      <w:r>
        <w:rPr>
          <w:rFonts w:hint="eastAsia"/>
          <w:highlight w:val="none"/>
        </w:rPr>
        <w:t>截至目前，龙泉山公司和各参建单位未发现一例疑似或确诊病例。</w:t>
      </w:r>
    </w:p>
    <w:tbl>
      <w:tblPr>
        <w:tblStyle w:val="19"/>
        <w:tblW w:w="0" w:type="auto"/>
        <w:tblInd w:w="0" w:type="dxa"/>
        <w:tblLayout w:type="fixed"/>
        <w:tblCellMar>
          <w:top w:w="0" w:type="dxa"/>
          <w:left w:w="108" w:type="dxa"/>
          <w:bottom w:w="0" w:type="dxa"/>
          <w:right w:w="108" w:type="dxa"/>
        </w:tblCellMar>
      </w:tblPr>
      <w:tblGrid>
        <w:gridCol w:w="4256"/>
        <w:gridCol w:w="4272"/>
      </w:tblGrid>
      <w:tr>
        <w:tblPrEx>
          <w:tblCellMar>
            <w:top w:w="0" w:type="dxa"/>
            <w:left w:w="108" w:type="dxa"/>
            <w:bottom w:w="0" w:type="dxa"/>
            <w:right w:w="108" w:type="dxa"/>
          </w:tblCellMar>
        </w:tblPrEx>
        <w:tc>
          <w:tcPr>
            <w:tcW w:w="4256" w:type="dxa"/>
            <w:shd w:val="clear" w:color="auto" w:fill="auto"/>
          </w:tcPr>
          <w:p>
            <w:pPr>
              <w:jc w:val="center"/>
              <w:rPr>
                <w:rFonts w:ascii="黑体" w:hAnsi="黑体" w:eastAsia="黑体" w:cs="Arial Unicode MS"/>
                <w:b/>
                <w:bCs/>
                <w:kern w:val="0"/>
                <w:sz w:val="18"/>
                <w:szCs w:val="18"/>
                <w:highlight w:val="none"/>
              </w:rPr>
            </w:pPr>
            <w:r>
              <w:rPr>
                <w:rFonts w:hint="eastAsia"/>
                <w:sz w:val="28"/>
                <w:szCs w:val="28"/>
                <w:highlight w:val="none"/>
              </w:rPr>
              <w:drawing>
                <wp:inline distT="0" distB="0" distL="114300" distR="114300">
                  <wp:extent cx="2879725" cy="3239770"/>
                  <wp:effectExtent l="0" t="0" r="15875" b="17780"/>
                  <wp:docPr id="21" name="图片 21" descr="1fde0283c22a341c411aac992e6bcfb"/>
                  <wp:cNvGraphicFramePr/>
                  <a:graphic xmlns:a="http://schemas.openxmlformats.org/drawingml/2006/main">
                    <a:graphicData uri="http://schemas.openxmlformats.org/drawingml/2006/picture">
                      <pic:pic xmlns:pic="http://schemas.openxmlformats.org/drawingml/2006/picture">
                        <pic:nvPicPr>
                          <pic:cNvPr id="21" name="图片 21" descr="1fde0283c22a341c411aac992e6bcfb"/>
                          <pic:cNvPicPr/>
                        </pic:nvPicPr>
                        <pic:blipFill>
                          <a:blip r:embed="rId17"/>
                          <a:stretch>
                            <a:fillRect/>
                          </a:stretch>
                        </pic:blipFill>
                        <pic:spPr>
                          <a:xfrm>
                            <a:off x="0" y="0"/>
                            <a:ext cx="2879725" cy="3239770"/>
                          </a:xfrm>
                          <a:prstGeom prst="rect">
                            <a:avLst/>
                          </a:prstGeom>
                        </pic:spPr>
                      </pic:pic>
                    </a:graphicData>
                  </a:graphic>
                </wp:inline>
              </w:drawing>
            </w:r>
          </w:p>
        </w:tc>
        <w:tc>
          <w:tcPr>
            <w:tcW w:w="4272" w:type="dxa"/>
            <w:shd w:val="clear" w:color="auto" w:fill="auto"/>
          </w:tcPr>
          <w:p>
            <w:pPr>
              <w:jc w:val="center"/>
              <w:rPr>
                <w:rFonts w:ascii="黑体" w:hAnsi="黑体" w:eastAsia="黑体" w:cs="Arial Unicode MS"/>
                <w:b/>
                <w:bCs/>
                <w:kern w:val="0"/>
                <w:sz w:val="18"/>
                <w:szCs w:val="18"/>
                <w:highlight w:val="none"/>
              </w:rPr>
            </w:pPr>
            <w:r>
              <w:rPr>
                <w:rFonts w:hint="eastAsia"/>
                <w:sz w:val="28"/>
                <w:szCs w:val="28"/>
                <w:highlight w:val="none"/>
              </w:rPr>
              <w:drawing>
                <wp:inline distT="0" distB="0" distL="114300" distR="114300">
                  <wp:extent cx="3193415" cy="2460625"/>
                  <wp:effectExtent l="0" t="0" r="15875" b="6985"/>
                  <wp:docPr id="23" name="图片 23" descr="09831c7290c032db96124c0658f219b"/>
                  <wp:cNvGraphicFramePr/>
                  <a:graphic xmlns:a="http://schemas.openxmlformats.org/drawingml/2006/main">
                    <a:graphicData uri="http://schemas.openxmlformats.org/drawingml/2006/picture">
                      <pic:pic xmlns:pic="http://schemas.openxmlformats.org/drawingml/2006/picture">
                        <pic:nvPicPr>
                          <pic:cNvPr id="23" name="图片 23" descr="09831c7290c032db96124c0658f219b"/>
                          <pic:cNvPicPr/>
                        </pic:nvPicPr>
                        <pic:blipFill>
                          <a:blip r:embed="rId18"/>
                          <a:stretch>
                            <a:fillRect/>
                          </a:stretch>
                        </pic:blipFill>
                        <pic:spPr>
                          <a:xfrm rot="16200000">
                            <a:off x="0" y="0"/>
                            <a:ext cx="3193415" cy="2460625"/>
                          </a:xfrm>
                          <a:prstGeom prst="rect">
                            <a:avLst/>
                          </a:prstGeom>
                        </pic:spPr>
                      </pic:pic>
                    </a:graphicData>
                  </a:graphic>
                </wp:inline>
              </w:drawing>
            </w:r>
          </w:p>
        </w:tc>
      </w:tr>
      <w:tr>
        <w:tblPrEx>
          <w:tblCellMar>
            <w:top w:w="0" w:type="dxa"/>
            <w:left w:w="108" w:type="dxa"/>
            <w:bottom w:w="0" w:type="dxa"/>
            <w:right w:w="108" w:type="dxa"/>
          </w:tblCellMar>
        </w:tblPrEx>
        <w:tc>
          <w:tcPr>
            <w:tcW w:w="4256" w:type="dxa"/>
            <w:shd w:val="clear" w:color="auto" w:fill="auto"/>
          </w:tcPr>
          <w:p>
            <w:pPr>
              <w:pStyle w:val="35"/>
              <w:rPr>
                <w:rFonts w:hint="eastAsia" w:eastAsia="仿宋"/>
                <w:highlight w:val="none"/>
                <w:lang w:eastAsia="zh-CN"/>
              </w:rPr>
            </w:pPr>
            <w:r>
              <w:rPr>
                <w:rFonts w:hint="eastAsia"/>
                <w:highlight w:val="none"/>
              </w:rPr>
              <w:t>图</w:t>
            </w:r>
            <w:r>
              <w:rPr>
                <w:rFonts w:hint="eastAsia"/>
                <w:highlight w:val="none"/>
                <w:lang w:val="en-US" w:eastAsia="zh-CN"/>
              </w:rPr>
              <w:t>11</w:t>
            </w:r>
            <w:r>
              <w:rPr>
                <w:highlight w:val="none"/>
              </w:rPr>
              <w:t xml:space="preserve"> </w:t>
            </w:r>
            <w:r>
              <w:rPr>
                <w:rFonts w:hint="eastAsia"/>
                <w:highlight w:val="none"/>
                <w:lang w:eastAsia="zh-CN"/>
              </w:rPr>
              <w:t>龙泉山公司防控新冠肺炎员工必读必行手册</w:t>
            </w:r>
          </w:p>
        </w:tc>
        <w:tc>
          <w:tcPr>
            <w:tcW w:w="4272" w:type="dxa"/>
            <w:shd w:val="clear" w:color="auto" w:fill="auto"/>
          </w:tcPr>
          <w:p>
            <w:pPr>
              <w:pStyle w:val="35"/>
              <w:rPr>
                <w:highlight w:val="none"/>
              </w:rPr>
            </w:pPr>
            <w:r>
              <w:rPr>
                <w:rFonts w:hint="eastAsia"/>
                <w:highlight w:val="none"/>
              </w:rPr>
              <w:t>图</w:t>
            </w:r>
            <w:r>
              <w:rPr>
                <w:rFonts w:hint="eastAsia"/>
                <w:highlight w:val="none"/>
                <w:lang w:val="en-US" w:eastAsia="zh-CN"/>
              </w:rPr>
              <w:t>12</w:t>
            </w:r>
            <w:r>
              <w:rPr>
                <w:highlight w:val="none"/>
              </w:rPr>
              <w:t xml:space="preserve"> </w:t>
            </w:r>
            <w:r>
              <w:rPr>
                <w:rFonts w:hint="eastAsia"/>
                <w:highlight w:val="none"/>
                <w:lang w:eastAsia="zh-CN"/>
              </w:rPr>
              <w:t>龙泉山公司对</w:t>
            </w:r>
            <w:r>
              <w:rPr>
                <w:rFonts w:hint="eastAsia"/>
                <w:highlight w:val="none"/>
              </w:rPr>
              <w:t>员工及外来人员进行严格管控</w:t>
            </w:r>
          </w:p>
        </w:tc>
      </w:tr>
    </w:tbl>
    <w:p>
      <w:pPr>
        <w:pStyle w:val="34"/>
        <w:rPr>
          <w:rFonts w:hint="eastAsia"/>
          <w:highlight w:val="none"/>
        </w:rPr>
      </w:pPr>
    </w:p>
    <w:p>
      <w:pPr>
        <w:pStyle w:val="34"/>
        <w:rPr>
          <w:rFonts w:hint="eastAsia" w:ascii="宋体" w:hAnsi="宋体" w:cs="宋体"/>
          <w:highlight w:val="none"/>
        </w:rPr>
      </w:pPr>
      <w:r>
        <w:rPr>
          <w:rFonts w:hint="eastAsia" w:ascii="宋体" w:hAnsi="宋体"/>
          <w:highlight w:val="none"/>
        </w:rPr>
        <w:t>安庆公司</w:t>
      </w:r>
      <w:r>
        <w:rPr>
          <w:rFonts w:hint="eastAsia" w:ascii="宋体" w:hAnsi="宋体" w:cs="仿宋_GB2312"/>
          <w:highlight w:val="none"/>
        </w:rPr>
        <w:t>制定的总体安全目标及工作思路，公司党支部书记、总经理与各部门负责人签定安全责任书和承诺书，部门第一责任人与专工、班组长签安全责任书和承诺书，班组长与班组成员签订安全生产责任书和承诺书，要求责任到人，层层落实，确保责任到位，工作到位，措施到位。</w:t>
      </w:r>
      <w:r>
        <w:rPr>
          <w:rFonts w:hint="eastAsia" w:ascii="宋体" w:hAnsi="宋体"/>
          <w:highlight w:val="none"/>
        </w:rPr>
        <w:t>坚定不移地贯</w:t>
      </w:r>
      <w:r>
        <w:rPr>
          <w:rFonts w:hint="eastAsia" w:ascii="宋体" w:hAnsi="宋体" w:cs="Arial"/>
          <w:highlight w:val="none"/>
        </w:rPr>
        <w:t>彻“安全第一，预防为主、综合治理”的安全生产方针，</w:t>
      </w:r>
      <w:r>
        <w:rPr>
          <w:rFonts w:hint="eastAsia" w:ascii="宋体" w:hAnsi="宋体"/>
          <w:highlight w:val="none"/>
        </w:rPr>
        <w:t>细化各级安全生产责任制</w:t>
      </w:r>
      <w:r>
        <w:rPr>
          <w:rFonts w:hint="eastAsia" w:ascii="宋体" w:hAnsi="宋体" w:cs="Arial"/>
          <w:highlight w:val="none"/>
        </w:rPr>
        <w:t>，采取有效措施，确保生产安全。</w:t>
      </w:r>
      <w:r>
        <w:rPr>
          <w:rFonts w:hint="eastAsia" w:ascii="宋体" w:hAnsi="宋体"/>
          <w:highlight w:val="none"/>
        </w:rPr>
        <w:t>20</w:t>
      </w:r>
      <w:r>
        <w:rPr>
          <w:rFonts w:hint="eastAsia" w:ascii="宋体" w:hAnsi="宋体"/>
          <w:highlight w:val="none"/>
          <w:lang w:val="en-US" w:eastAsia="zh-CN"/>
        </w:rPr>
        <w:t>20</w:t>
      </w:r>
      <w:r>
        <w:rPr>
          <w:rFonts w:hint="eastAsia" w:ascii="宋体" w:hAnsi="宋体"/>
          <w:highlight w:val="none"/>
        </w:rPr>
        <w:t>年度，公司连续安全生产</w:t>
      </w:r>
      <w:r>
        <w:rPr>
          <w:rFonts w:ascii="宋体" w:hAnsi="宋体"/>
          <w:highlight w:val="none"/>
        </w:rPr>
        <w:t>2</w:t>
      </w:r>
      <w:r>
        <w:rPr>
          <w:rFonts w:hint="eastAsia" w:ascii="宋体" w:hAnsi="宋体"/>
          <w:highlight w:val="none"/>
          <w:lang w:val="en-US" w:eastAsia="zh-CN"/>
        </w:rPr>
        <w:t>455</w:t>
      </w:r>
      <w:r>
        <w:rPr>
          <w:rFonts w:hint="eastAsia" w:ascii="宋体" w:hAnsi="宋体"/>
          <w:highlight w:val="none"/>
        </w:rPr>
        <w:t>天</w:t>
      </w:r>
      <w:r>
        <w:rPr>
          <w:rFonts w:hint="eastAsia" w:ascii="宋体" w:hAnsi="宋体" w:cs="宋体"/>
          <w:highlight w:val="none"/>
        </w:rPr>
        <w:t>，未发生轻伤以上事件，各项安全工作均在可控范围内。</w:t>
      </w:r>
    </w:p>
    <w:p>
      <w:pPr>
        <w:pStyle w:val="34"/>
        <w:rPr>
          <w:rFonts w:hint="eastAsia" w:ascii="宋体" w:hAnsi="宋体" w:cs="宋体"/>
          <w:highlight w:val="none"/>
        </w:rPr>
      </w:pPr>
      <w:r>
        <w:rPr>
          <w:rFonts w:hint="eastAsia" w:ascii="宋体" w:hAnsi="宋体" w:cs="宋体"/>
          <w:highlight w:val="none"/>
        </w:rPr>
        <w:t>根据集团公司和环保发电公司关于做好新型冠状病毒感染的肺炎疫情防控工作的通知，安庆公司成立了疫情防控组织构架，制定安庆公司新型冠状病毒感染肺炎疫情防控工作方案和疫情防控应急预案</w:t>
      </w:r>
      <w:r>
        <w:rPr>
          <w:rFonts w:hint="eastAsia" w:ascii="宋体" w:hAnsi="宋体" w:cs="宋体"/>
          <w:highlight w:val="none"/>
          <w:lang w:eastAsia="zh-CN"/>
        </w:rPr>
        <w:t>。</w:t>
      </w:r>
      <w:r>
        <w:rPr>
          <w:rFonts w:hint="eastAsia" w:ascii="宋体" w:hAnsi="宋体" w:cs="宋体"/>
          <w:highlight w:val="none"/>
        </w:rPr>
        <w:t>根据上级公司和地方政府有关部门要求，制定了安庆公司应对新型冠状病毒感染的肺炎疫情医疗废弃物应急处置预案。遵循安庆市新型冠状病毒感染的肺炎疫情防控应急指挥部办公室下发《关于做好复工企业和员工登记工作的通知》、《关于推广应用“皖事通”APP做好居民健康信息登记工作的通知》等指导细则。加强人员信息的管控，严格按照日管控、零报告要求，对在上班人员上、下午各测一次体温，并做好体温测量记录，上班期间必须佩戴口罩同时对进厂车辆司机进行体温测量，确保及时准确掌握进厂人员信息。全力以赴稳定物资供应。因受疫情突发影响，公司使用的生产消耗性物资无法保证及时供应、防护物资短缺，为保障生产消耗性物资供应及时、员工防护物资采购到位，公司积极与供货单位联系，并上报上级管理单位协调，确保各项物资满足安全生产、疫情防护需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Arial Unicode MS"/>
          <w:kern w:val="0"/>
          <w:highlight w:val="none"/>
        </w:rPr>
      </w:pPr>
      <w:r>
        <w:rPr>
          <w:rFonts w:hint="eastAsia" w:ascii="仿宋" w:hAnsi="仿宋" w:eastAsia="仿宋" w:cs="仿宋"/>
          <w:kern w:val="0"/>
          <w:sz w:val="28"/>
          <w:szCs w:val="28"/>
          <w:highlight w:val="none"/>
          <w:lang w:eastAsia="zh-CN"/>
        </w:rPr>
        <w:t>安庆公司</w:t>
      </w:r>
      <w:r>
        <w:rPr>
          <w:rFonts w:hint="eastAsia" w:ascii="仿宋" w:hAnsi="仿宋" w:eastAsia="仿宋" w:cs="仿宋"/>
          <w:sz w:val="28"/>
          <w:szCs w:val="28"/>
          <w:highlight w:val="none"/>
        </w:rPr>
        <w:t>结合“春、秋季安全大检查活动”、“安全生产专项整治三年行动方案”、“班组建设和文明生产检查”、各季度安全大检查和全国第十九个安全生产月活动，</w:t>
      </w:r>
      <w:r>
        <w:rPr>
          <w:rFonts w:hint="eastAsia" w:ascii="仿宋" w:hAnsi="仿宋" w:eastAsia="仿宋" w:cs="仿宋"/>
          <w:sz w:val="28"/>
          <w:szCs w:val="28"/>
          <w:highlight w:val="none"/>
          <w:lang w:eastAsia="zh-CN"/>
        </w:rPr>
        <w:t>安庆</w:t>
      </w:r>
      <w:r>
        <w:rPr>
          <w:rFonts w:hint="eastAsia" w:ascii="仿宋" w:hAnsi="仿宋" w:eastAsia="仿宋" w:cs="仿宋"/>
          <w:sz w:val="28"/>
          <w:szCs w:val="28"/>
          <w:highlight w:val="none"/>
        </w:rPr>
        <w:t>公司下发了相关活动的实施方案和通知。2020年春节前</w:t>
      </w:r>
      <w:r>
        <w:rPr>
          <w:rFonts w:hint="eastAsia" w:ascii="仿宋" w:hAnsi="仿宋" w:eastAsia="仿宋" w:cs="仿宋"/>
          <w:sz w:val="28"/>
          <w:szCs w:val="28"/>
          <w:highlight w:val="none"/>
          <w:lang w:eastAsia="zh-CN"/>
        </w:rPr>
        <w:t>安庆</w:t>
      </w:r>
      <w:r>
        <w:rPr>
          <w:rFonts w:hint="eastAsia" w:ascii="仿宋" w:hAnsi="仿宋" w:eastAsia="仿宋" w:cs="仿宋"/>
          <w:sz w:val="28"/>
          <w:szCs w:val="28"/>
          <w:highlight w:val="none"/>
        </w:rPr>
        <w:t>公司领导带队进行电子间、配电室、桥架防小动物和生产区域防寒、防冻检查，节前生产现场安全隐患排查，确保机组节日期间安全稳定运行。3月份组织4号炉复工复产前的检查和资料准备工作。结合春季安全大检查活动4月份公司领导带队进行全厂下水道、排水沟、窨井、房屋顶棚、雨水管道、厂房漏雨、基坑等情况进行检查梳理，防止像2019年5月分大雨排水不畅水灌厂区事件重复发生；4月份</w:t>
      </w:r>
      <w:r>
        <w:rPr>
          <w:rFonts w:hint="eastAsia" w:ascii="仿宋" w:hAnsi="仿宋" w:eastAsia="仿宋" w:cs="仿宋"/>
          <w:sz w:val="28"/>
          <w:szCs w:val="28"/>
          <w:highlight w:val="none"/>
          <w:lang w:eastAsia="zh-CN"/>
        </w:rPr>
        <w:t>安庆</w:t>
      </w:r>
      <w:r>
        <w:rPr>
          <w:rFonts w:hint="eastAsia" w:ascii="仿宋" w:hAnsi="仿宋" w:eastAsia="仿宋" w:cs="仿宋"/>
          <w:sz w:val="28"/>
          <w:szCs w:val="28"/>
          <w:highlight w:val="none"/>
        </w:rPr>
        <w:t>公司领导带队组织对渣处理协作单位进行安全环保专项检查，防止协作单位违规违法经营；五一劳动节前安全隐患和消防专项排查工作；6月份开展安全月活动和春季安全大检查自查自纠整改总结工作。7月初</w:t>
      </w:r>
      <w:r>
        <w:rPr>
          <w:rFonts w:hint="eastAsia" w:ascii="仿宋" w:hAnsi="仿宋" w:eastAsia="仿宋" w:cs="仿宋"/>
          <w:sz w:val="28"/>
          <w:szCs w:val="28"/>
          <w:highlight w:val="none"/>
          <w:lang w:eastAsia="zh-CN"/>
        </w:rPr>
        <w:t>安庆</w:t>
      </w:r>
      <w:r>
        <w:rPr>
          <w:rFonts w:hint="eastAsia" w:ascii="仿宋" w:hAnsi="仿宋" w:eastAsia="仿宋" w:cs="仿宋"/>
          <w:sz w:val="28"/>
          <w:szCs w:val="28"/>
          <w:highlight w:val="none"/>
        </w:rPr>
        <w:t>公司领导带队开展高温前期的转动设备检查工作，防止进入盛夏期间转动设备周围布满轴流风机降温的现象；8月份进入防汛、防台期，今年的汛期也是几十年一遇的大汛，公司全力保障安全生产稳定，组织学习防汛、防台应急预案，开展防汛应急演练；开展危险化学品专项检查；8、9月份也是4号炉建设调试高峰期，为了力争9月底投产做好保障工作。8月底9月初因广德“8.26”事件停工整顿3天，开展隐患和文明施工整治；9月下旬开展中秋国庆节前安全大检查，确保机组安全稳定运行，施工现场安全文明施工；10月18日完成4号炉72+24h试运行。10下旬开展秋季安全全大检查活动，结合秋检和安全生产整治三年行动计划及公司实际情况，开展电仪专业专项检查、消防专项检查、持续开展防寒防冻检查、起重设备专项检查、环境保护制度梳理整改、隐患排查制度梳理整改等，制定了各专业防寒防冻措施，并下发实施。截止到2020年12月30日开展各项检查25次，下发整改通知单25份并落实责任部门和责任人限期整改，未按时间整改依据预考核进行考核，共查出需整改项305项（不包含4号炉尾工），完成整改305项。</w:t>
      </w:r>
    </w:p>
    <w:tbl>
      <w:tblPr>
        <w:tblStyle w:val="19"/>
        <w:tblW w:w="0" w:type="auto"/>
        <w:tblInd w:w="0" w:type="dxa"/>
        <w:tblLayout w:type="autofit"/>
        <w:tblCellMar>
          <w:top w:w="0" w:type="dxa"/>
          <w:left w:w="108" w:type="dxa"/>
          <w:bottom w:w="0" w:type="dxa"/>
          <w:right w:w="108" w:type="dxa"/>
        </w:tblCellMar>
      </w:tblPr>
      <w:tblGrid>
        <w:gridCol w:w="4263"/>
        <w:gridCol w:w="4265"/>
      </w:tblGrid>
      <w:tr>
        <w:tblPrEx>
          <w:tblCellMar>
            <w:top w:w="0" w:type="dxa"/>
            <w:left w:w="108" w:type="dxa"/>
            <w:bottom w:w="0" w:type="dxa"/>
            <w:right w:w="108" w:type="dxa"/>
          </w:tblCellMar>
        </w:tblPrEx>
        <w:tc>
          <w:tcPr>
            <w:tcW w:w="4263" w:type="dxa"/>
            <w:shd w:val="clear" w:color="auto" w:fill="auto"/>
          </w:tcPr>
          <w:p>
            <w:pPr>
              <w:rPr>
                <w:rFonts w:ascii="黑体" w:hAnsi="黑体" w:eastAsia="黑体" w:cs="Arial Unicode MS"/>
                <w:b/>
                <w:bCs/>
                <w:kern w:val="0"/>
                <w:sz w:val="18"/>
                <w:szCs w:val="18"/>
                <w:highlight w:val="none"/>
              </w:rPr>
            </w:pPr>
            <w:r>
              <w:rPr>
                <w:highlight w:val="none"/>
              </w:rPr>
              <w:drawing>
                <wp:inline distT="0" distB="0" distL="114300" distR="114300">
                  <wp:extent cx="2520315" cy="1979930"/>
                  <wp:effectExtent l="0" t="0" r="13335" b="127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9"/>
                          <a:stretch>
                            <a:fillRect/>
                          </a:stretch>
                        </pic:blipFill>
                        <pic:spPr>
                          <a:xfrm>
                            <a:off x="0" y="0"/>
                            <a:ext cx="2520315" cy="1979930"/>
                          </a:xfrm>
                          <a:prstGeom prst="rect">
                            <a:avLst/>
                          </a:prstGeom>
                          <a:noFill/>
                          <a:ln>
                            <a:noFill/>
                          </a:ln>
                        </pic:spPr>
                      </pic:pic>
                    </a:graphicData>
                  </a:graphic>
                </wp:inline>
              </w:drawing>
            </w:r>
          </w:p>
        </w:tc>
        <w:tc>
          <w:tcPr>
            <w:tcW w:w="4265" w:type="dxa"/>
            <w:shd w:val="clear" w:color="auto" w:fill="auto"/>
          </w:tcPr>
          <w:p>
            <w:pPr>
              <w:rPr>
                <w:rFonts w:ascii="黑体" w:hAnsi="黑体" w:eastAsia="黑体" w:cs="Arial Unicode MS"/>
                <w:b/>
                <w:bCs/>
                <w:kern w:val="0"/>
                <w:sz w:val="18"/>
                <w:szCs w:val="18"/>
                <w:highlight w:val="none"/>
              </w:rPr>
            </w:pPr>
            <w:r>
              <w:rPr>
                <w:highlight w:val="none"/>
              </w:rPr>
              <w:drawing>
                <wp:inline distT="0" distB="0" distL="114300" distR="114300">
                  <wp:extent cx="2520315" cy="1979930"/>
                  <wp:effectExtent l="0" t="0" r="13335" b="127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20"/>
                          <a:stretch>
                            <a:fillRect/>
                          </a:stretch>
                        </pic:blipFill>
                        <pic:spPr>
                          <a:xfrm>
                            <a:off x="0" y="0"/>
                            <a:ext cx="2520315" cy="197993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3" w:type="dxa"/>
            <w:shd w:val="clear" w:color="auto" w:fill="auto"/>
          </w:tcPr>
          <w:p>
            <w:pPr>
              <w:pStyle w:val="35"/>
              <w:rPr>
                <w:rFonts w:hint="eastAsia" w:eastAsia="仿宋"/>
                <w:highlight w:val="none"/>
                <w:lang w:eastAsia="zh-CN"/>
              </w:rPr>
            </w:pPr>
            <w:r>
              <w:rPr>
                <w:rFonts w:hint="eastAsia"/>
                <w:highlight w:val="none"/>
              </w:rPr>
              <w:t>图</w:t>
            </w:r>
            <w:r>
              <w:rPr>
                <w:rFonts w:hint="eastAsia"/>
                <w:highlight w:val="none"/>
                <w:lang w:val="en-US" w:eastAsia="zh-CN"/>
              </w:rPr>
              <w:t>13</w:t>
            </w:r>
            <w:r>
              <w:rPr>
                <w:highlight w:val="none"/>
              </w:rPr>
              <w:t xml:space="preserve"> </w:t>
            </w:r>
            <w:r>
              <w:rPr>
                <w:rFonts w:hint="eastAsia"/>
                <w:highlight w:val="none"/>
              </w:rPr>
              <w:t>安庆公司</w:t>
            </w:r>
            <w:r>
              <w:rPr>
                <w:rFonts w:hint="eastAsia"/>
                <w:highlight w:val="none"/>
                <w:lang w:eastAsia="zh-CN"/>
              </w:rPr>
              <w:t>安全检查</w:t>
            </w:r>
          </w:p>
        </w:tc>
        <w:tc>
          <w:tcPr>
            <w:tcW w:w="4265" w:type="dxa"/>
            <w:shd w:val="clear" w:color="auto" w:fill="auto"/>
          </w:tcPr>
          <w:p>
            <w:pPr>
              <w:pStyle w:val="35"/>
              <w:rPr>
                <w:highlight w:val="none"/>
              </w:rPr>
            </w:pPr>
            <w:r>
              <w:rPr>
                <w:rFonts w:hint="eastAsia"/>
                <w:highlight w:val="none"/>
              </w:rPr>
              <w:t>图</w:t>
            </w:r>
            <w:r>
              <w:rPr>
                <w:rFonts w:hint="eastAsia"/>
                <w:highlight w:val="none"/>
                <w:lang w:val="en-US" w:eastAsia="zh-CN"/>
              </w:rPr>
              <w:t>14</w:t>
            </w:r>
            <w:r>
              <w:rPr>
                <w:highlight w:val="none"/>
              </w:rPr>
              <w:t xml:space="preserve"> </w:t>
            </w:r>
            <w:r>
              <w:rPr>
                <w:rFonts w:hint="eastAsia"/>
                <w:highlight w:val="none"/>
              </w:rPr>
              <w:t>安庆公司</w:t>
            </w:r>
            <w:r>
              <w:rPr>
                <w:rFonts w:hint="eastAsia"/>
                <w:highlight w:val="none"/>
                <w:lang w:eastAsia="zh-CN"/>
              </w:rPr>
              <w:t>安全检查</w:t>
            </w:r>
          </w:p>
        </w:tc>
      </w:tr>
      <w:tr>
        <w:tblPrEx>
          <w:tblCellMar>
            <w:top w:w="0" w:type="dxa"/>
            <w:left w:w="108" w:type="dxa"/>
            <w:bottom w:w="0" w:type="dxa"/>
            <w:right w:w="108" w:type="dxa"/>
          </w:tblCellMar>
        </w:tblPrEx>
        <w:tc>
          <w:tcPr>
            <w:tcW w:w="4263" w:type="dxa"/>
            <w:shd w:val="clear" w:color="auto" w:fill="auto"/>
          </w:tcPr>
          <w:p>
            <w:pPr>
              <w:pStyle w:val="35"/>
              <w:rPr>
                <w:highlight w:val="none"/>
              </w:rPr>
            </w:pPr>
            <w:r>
              <w:rPr>
                <w:highlight w:val="none"/>
              </w:rPr>
              <w:drawing>
                <wp:inline distT="0" distB="0" distL="114300" distR="114300">
                  <wp:extent cx="2520315" cy="1979930"/>
                  <wp:effectExtent l="0" t="0" r="13335" b="1270"/>
                  <wp:docPr id="9" name="图片 3"/>
                  <wp:cNvGraphicFramePr/>
                  <a:graphic xmlns:a="http://schemas.openxmlformats.org/drawingml/2006/main">
                    <a:graphicData uri="http://schemas.openxmlformats.org/drawingml/2006/picture">
                      <pic:pic xmlns:pic="http://schemas.openxmlformats.org/drawingml/2006/picture">
                        <pic:nvPicPr>
                          <pic:cNvPr id="9" name="图片 3"/>
                          <pic:cNvPicPr/>
                        </pic:nvPicPr>
                        <pic:blipFill>
                          <a:blip r:embed="rId21"/>
                          <a:stretch>
                            <a:fillRect/>
                          </a:stretch>
                        </pic:blipFill>
                        <pic:spPr>
                          <a:xfrm>
                            <a:off x="0" y="0"/>
                            <a:ext cx="2520315" cy="1979930"/>
                          </a:xfrm>
                          <a:prstGeom prst="rect">
                            <a:avLst/>
                          </a:prstGeom>
                          <a:noFill/>
                          <a:ln>
                            <a:noFill/>
                          </a:ln>
                        </pic:spPr>
                      </pic:pic>
                    </a:graphicData>
                  </a:graphic>
                </wp:inline>
              </w:drawing>
            </w:r>
          </w:p>
          <w:p>
            <w:pPr>
              <w:pStyle w:val="35"/>
              <w:rPr>
                <w:rFonts w:hint="eastAsia"/>
                <w:highlight w:val="none"/>
              </w:rPr>
            </w:pPr>
            <w:r>
              <w:rPr>
                <w:rFonts w:hint="eastAsia"/>
                <w:highlight w:val="none"/>
              </w:rPr>
              <w:t>图</w:t>
            </w:r>
            <w:r>
              <w:rPr>
                <w:rFonts w:hint="eastAsia"/>
                <w:highlight w:val="none"/>
                <w:lang w:val="en-US" w:eastAsia="zh-CN"/>
              </w:rPr>
              <w:t>15</w:t>
            </w:r>
            <w:r>
              <w:rPr>
                <w:highlight w:val="none"/>
              </w:rPr>
              <w:t xml:space="preserve"> </w:t>
            </w:r>
            <w:r>
              <w:rPr>
                <w:rFonts w:hint="eastAsia"/>
                <w:highlight w:val="none"/>
              </w:rPr>
              <w:t>安庆公司</w:t>
            </w:r>
            <w:r>
              <w:rPr>
                <w:rFonts w:hint="eastAsia"/>
                <w:highlight w:val="none"/>
                <w:lang w:eastAsia="zh-CN"/>
              </w:rPr>
              <w:t>反事故演习</w:t>
            </w:r>
          </w:p>
        </w:tc>
        <w:tc>
          <w:tcPr>
            <w:tcW w:w="4265" w:type="dxa"/>
            <w:shd w:val="clear" w:color="auto" w:fill="auto"/>
          </w:tcPr>
          <w:p>
            <w:pPr>
              <w:pStyle w:val="35"/>
              <w:rPr>
                <w:highlight w:val="none"/>
              </w:rPr>
            </w:pPr>
            <w:r>
              <w:rPr>
                <w:highlight w:val="none"/>
              </w:rPr>
              <w:drawing>
                <wp:inline distT="0" distB="0" distL="114300" distR="114300">
                  <wp:extent cx="2520315" cy="1979930"/>
                  <wp:effectExtent l="0" t="0" r="13335" b="1270"/>
                  <wp:docPr id="11" name="图片 4"/>
                  <wp:cNvGraphicFramePr/>
                  <a:graphic xmlns:a="http://schemas.openxmlformats.org/drawingml/2006/main">
                    <a:graphicData uri="http://schemas.openxmlformats.org/drawingml/2006/picture">
                      <pic:pic xmlns:pic="http://schemas.openxmlformats.org/drawingml/2006/picture">
                        <pic:nvPicPr>
                          <pic:cNvPr id="11" name="图片 4"/>
                          <pic:cNvPicPr/>
                        </pic:nvPicPr>
                        <pic:blipFill>
                          <a:blip r:embed="rId22"/>
                          <a:stretch>
                            <a:fillRect/>
                          </a:stretch>
                        </pic:blipFill>
                        <pic:spPr>
                          <a:xfrm>
                            <a:off x="0" y="0"/>
                            <a:ext cx="2520315" cy="1979930"/>
                          </a:xfrm>
                          <a:prstGeom prst="rect">
                            <a:avLst/>
                          </a:prstGeom>
                          <a:noFill/>
                          <a:ln>
                            <a:noFill/>
                          </a:ln>
                        </pic:spPr>
                      </pic:pic>
                    </a:graphicData>
                  </a:graphic>
                </wp:inline>
              </w:drawing>
            </w:r>
          </w:p>
          <w:p>
            <w:pPr>
              <w:pStyle w:val="35"/>
              <w:rPr>
                <w:rFonts w:hint="default" w:eastAsia="仿宋"/>
                <w:highlight w:val="none"/>
                <w:lang w:val="en-US" w:eastAsia="zh-CN"/>
              </w:rPr>
            </w:pPr>
            <w:r>
              <w:rPr>
                <w:rFonts w:hint="eastAsia"/>
                <w:highlight w:val="none"/>
                <w:lang w:eastAsia="zh-CN"/>
              </w:rPr>
              <w:t>图</w:t>
            </w:r>
            <w:r>
              <w:rPr>
                <w:rFonts w:hint="eastAsia"/>
                <w:highlight w:val="none"/>
                <w:lang w:val="en-US" w:eastAsia="zh-CN"/>
              </w:rPr>
              <w:t>16 安庆公司烟气自监系统故障应急演练</w:t>
            </w:r>
          </w:p>
        </w:tc>
      </w:tr>
    </w:tbl>
    <w:p>
      <w:pPr>
        <w:pStyle w:val="34"/>
        <w:ind w:left="0" w:leftChars="0" w:firstLine="560" w:firstLineChars="200"/>
        <w:rPr>
          <w:rFonts w:hint="eastAsia"/>
          <w:highlight w:val="none"/>
        </w:rPr>
      </w:pPr>
      <w:r>
        <w:rPr>
          <w:rFonts w:hint="eastAsia"/>
          <w:highlight w:val="none"/>
          <w:lang w:eastAsia="zh-CN"/>
        </w:rPr>
        <w:t>安庆公司</w:t>
      </w:r>
      <w:r>
        <w:rPr>
          <w:rFonts w:hint="eastAsia"/>
          <w:highlight w:val="none"/>
        </w:rPr>
        <w:t>按照年初上级公司下发的年度应急演练计划，积极开展应急演练活动，提高全员应急处置能力，结合现场实际，组织公司生产各部门开展了高空坠落救援演练、消防火灾灭火和逃生演练、人身触电事故演练、氨水泄露中毒应急演练、变压器及电气设备火灾事故演练、厂用电中断应急演练、输灰系统异常事故处置方案演练、压力容器爆漏事故应急演练、CEMS故障应急演练、锅炉大面积结焦事故处置预案、防台风、洪水、地质灾害事故演练、消防事故应急演练、有限空间作业人员中毒救援演练、车辆伤害事故处置演练。通过演练，使员工能够有效应对突发性的不安全事件，提高应对不安全事件的应急反应能力和处置水平，确保一旦发生不安全事件，能够有效组织、快速反应，最大限度地减少不安全事件带来的危害。</w:t>
      </w:r>
    </w:p>
    <w:p>
      <w:pPr>
        <w:pStyle w:val="34"/>
        <w:ind w:left="0" w:leftChars="0" w:firstLine="560" w:firstLineChars="200"/>
        <w:rPr>
          <w:rFonts w:hint="eastAsia"/>
          <w:highlight w:val="none"/>
        </w:rPr>
      </w:pPr>
      <w:r>
        <w:rPr>
          <w:rFonts w:hint="eastAsia"/>
          <w:highlight w:val="none"/>
        </w:rPr>
        <w:t>为进一步强化安全意识，夯实安全理论基础，</w:t>
      </w:r>
      <w:r>
        <w:rPr>
          <w:rFonts w:hint="eastAsia"/>
          <w:highlight w:val="none"/>
          <w:lang w:val="en-US" w:eastAsia="zh-CN"/>
        </w:rPr>
        <w:t>年初</w:t>
      </w:r>
      <w:r>
        <w:rPr>
          <w:rFonts w:hint="eastAsia"/>
          <w:highlight w:val="none"/>
        </w:rPr>
        <w:t>，宿州公司组织全体员工及长期外委单位人员进行年度安规考试及工作票“三种人”考试。宿州公司高度重视此次安规考试，认真编写安规试题</w:t>
      </w:r>
      <w:r>
        <w:rPr>
          <w:rFonts w:hint="eastAsia"/>
          <w:highlight w:val="none"/>
          <w:lang w:eastAsia="zh-CN"/>
        </w:rPr>
        <w:t>，</w:t>
      </w:r>
      <w:r>
        <w:rPr>
          <w:rFonts w:hint="eastAsia"/>
          <w:highlight w:val="none"/>
        </w:rPr>
        <w:t>公司领导审核，制定严格的考场纪律、考试要求及考核办法。试题紧紧围绕《安规》基础内容、安全相关法律法规和公司渗滤液、有限空间作业管理规章制度等。重点突出专业性和实用性，同时与岗位工作相结合，把《安规》内容与员工专业紧密相联，提高员工学习和掌握安规的积极性和有效性。</w:t>
      </w:r>
    </w:p>
    <w:p>
      <w:pPr>
        <w:pStyle w:val="34"/>
        <w:ind w:left="0" w:leftChars="0" w:firstLine="560" w:firstLineChars="200"/>
        <w:rPr>
          <w:rFonts w:hint="eastAsia"/>
          <w:highlight w:val="none"/>
        </w:rPr>
      </w:pPr>
      <w:r>
        <w:rPr>
          <w:rFonts w:hint="eastAsia"/>
          <w:highlight w:val="none"/>
          <w:lang w:val="en-US" w:eastAsia="zh-CN"/>
        </w:rPr>
        <w:t>2020年</w:t>
      </w:r>
      <w:r>
        <w:rPr>
          <w:rFonts w:hint="eastAsia"/>
          <w:highlight w:val="none"/>
          <w:lang w:eastAsia="zh-CN"/>
        </w:rPr>
        <w:t>春节前夕</w:t>
      </w:r>
      <w:r>
        <w:rPr>
          <w:rFonts w:hint="eastAsia"/>
          <w:highlight w:val="none"/>
        </w:rPr>
        <w:t>，宿州公司开展节前文明生产检查及隐患排查，该公司副总经理带队，各部门负责人及外委单位负责人参加。为确保春节期间公司财产安全、设备安全稳定运行，检查小组按春节期间安全生产保障工作方案，结合“环保公司关于加强2020年元旦、春节期间安全生产工作的通知”要求。对厂生产区危险化学品、特种设备、压力容器、35KV、400V电子间、仓库办公区、食堂等消防设施、重点防火部位进行了仔细排查，查找薄弱环节和设备隐患，对检查出的问24项问题立即下发检查整改单落实责任人，并要求各责任人在22日前消除隐患，不能消除的制定措施。此次检查，既强化了安全红线意识和树立“安全第一”意识，又提高了安全生产保障水平，为公司节日期间安全生产稳定运行夯实了基础，为公司财产安全提供了有力保障。</w:t>
      </w:r>
    </w:p>
    <w:tbl>
      <w:tblPr>
        <w:tblStyle w:val="19"/>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shd w:val="clear" w:color="auto" w:fill="auto"/>
          </w:tcPr>
          <w:p>
            <w:pPr>
              <w:pStyle w:val="39"/>
              <w:rPr>
                <w:highlight w:val="none"/>
              </w:rPr>
            </w:pPr>
            <w:r>
              <w:rPr>
                <w:highlight w:val="none"/>
              </w:rPr>
              <w:drawing>
                <wp:inline distT="0" distB="0" distL="114300" distR="114300">
                  <wp:extent cx="2520315" cy="2160270"/>
                  <wp:effectExtent l="0" t="0" r="13335" b="1143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3"/>
                          <a:stretch>
                            <a:fillRect/>
                          </a:stretch>
                        </pic:blipFill>
                        <pic:spPr>
                          <a:xfrm>
                            <a:off x="0" y="0"/>
                            <a:ext cx="2520315" cy="2160270"/>
                          </a:xfrm>
                          <a:prstGeom prst="rect">
                            <a:avLst/>
                          </a:prstGeom>
                          <a:noFill/>
                          <a:ln>
                            <a:noFill/>
                          </a:ln>
                        </pic:spPr>
                      </pic:pic>
                    </a:graphicData>
                  </a:graphic>
                </wp:inline>
              </w:drawing>
            </w:r>
          </w:p>
        </w:tc>
        <w:tc>
          <w:tcPr>
            <w:tcW w:w="4264" w:type="dxa"/>
            <w:shd w:val="clear" w:color="auto" w:fill="auto"/>
          </w:tcPr>
          <w:p>
            <w:pPr>
              <w:pStyle w:val="39"/>
              <w:rPr>
                <w:highlight w:val="none"/>
              </w:rPr>
            </w:pPr>
            <w:r>
              <w:rPr>
                <w:highlight w:val="none"/>
              </w:rPr>
              <w:drawing>
                <wp:inline distT="0" distB="0" distL="114300" distR="114300">
                  <wp:extent cx="2520315" cy="2160270"/>
                  <wp:effectExtent l="0" t="0" r="13335" b="1143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4"/>
                          <a:stretch>
                            <a:fillRect/>
                          </a:stretch>
                        </pic:blipFill>
                        <pic:spPr>
                          <a:xfrm>
                            <a:off x="0" y="0"/>
                            <a:ext cx="2520315" cy="216027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4" w:type="dxa"/>
            <w:shd w:val="clear" w:color="auto" w:fill="auto"/>
          </w:tcPr>
          <w:p>
            <w:pPr>
              <w:pStyle w:val="35"/>
              <w:rPr>
                <w:rFonts w:hint="eastAsia" w:eastAsia="仿宋"/>
                <w:highlight w:val="none"/>
                <w:lang w:eastAsia="zh-CN"/>
              </w:rPr>
            </w:pPr>
            <w:r>
              <w:rPr>
                <w:rFonts w:hint="eastAsia"/>
                <w:highlight w:val="none"/>
              </w:rPr>
              <w:t>图</w:t>
            </w:r>
            <w:r>
              <w:rPr>
                <w:rFonts w:hint="eastAsia"/>
                <w:highlight w:val="none"/>
                <w:lang w:val="en-US" w:eastAsia="zh-CN"/>
              </w:rPr>
              <w:t>17</w:t>
            </w:r>
            <w:r>
              <w:rPr>
                <w:highlight w:val="none"/>
              </w:rPr>
              <w:t xml:space="preserve"> </w:t>
            </w:r>
            <w:r>
              <w:rPr>
                <w:rFonts w:hint="eastAsia"/>
                <w:highlight w:val="none"/>
                <w:lang w:eastAsia="zh-CN"/>
              </w:rPr>
              <w:t>宿州公司</w:t>
            </w:r>
            <w:r>
              <w:rPr>
                <w:rFonts w:hint="eastAsia"/>
                <w:highlight w:val="none"/>
              </w:rPr>
              <w:t>年度安规考试及工作票“三种人”考试</w:t>
            </w:r>
          </w:p>
        </w:tc>
        <w:tc>
          <w:tcPr>
            <w:tcW w:w="4264" w:type="dxa"/>
            <w:shd w:val="clear" w:color="auto" w:fill="auto"/>
          </w:tcPr>
          <w:p>
            <w:pPr>
              <w:pStyle w:val="35"/>
              <w:rPr>
                <w:highlight w:val="none"/>
              </w:rPr>
            </w:pPr>
            <w:r>
              <w:rPr>
                <w:rFonts w:hint="eastAsia"/>
                <w:highlight w:val="none"/>
              </w:rPr>
              <w:t>图</w:t>
            </w:r>
            <w:r>
              <w:rPr>
                <w:highlight w:val="none"/>
              </w:rPr>
              <w:fldChar w:fldCharType="begin"/>
            </w:r>
            <w:r>
              <w:rPr>
                <w:highlight w:val="none"/>
              </w:rPr>
              <w:instrText xml:space="preserve"> </w:instrText>
            </w:r>
            <w:r>
              <w:rPr>
                <w:rFonts w:hint="eastAsia"/>
                <w:highlight w:val="none"/>
              </w:rPr>
              <w:instrText xml:space="preserve">SEQ 图 \* ARABIC</w:instrText>
            </w:r>
            <w:r>
              <w:rPr>
                <w:highlight w:val="none"/>
              </w:rPr>
              <w:instrText xml:space="preserve"> </w:instrText>
            </w:r>
            <w:r>
              <w:rPr>
                <w:highlight w:val="none"/>
              </w:rPr>
              <w:fldChar w:fldCharType="separate"/>
            </w:r>
            <w:r>
              <w:rPr>
                <w:rFonts w:hint="eastAsia"/>
                <w:highlight w:val="none"/>
                <w:lang w:val="en-US" w:eastAsia="zh-CN"/>
              </w:rPr>
              <w:t>18</w:t>
            </w:r>
            <w:r>
              <w:rPr>
                <w:highlight w:val="none"/>
              </w:rPr>
              <w:fldChar w:fldCharType="end"/>
            </w:r>
            <w:r>
              <w:rPr>
                <w:highlight w:val="none"/>
              </w:rPr>
              <w:t xml:space="preserve"> </w:t>
            </w:r>
            <w:r>
              <w:rPr>
                <w:rFonts w:hint="eastAsia"/>
                <w:highlight w:val="none"/>
              </w:rPr>
              <w:t>宿州公司开展节前文明生产检查及隐患排查</w:t>
            </w:r>
          </w:p>
        </w:tc>
      </w:tr>
      <w:tr>
        <w:tblPrEx>
          <w:tblCellMar>
            <w:top w:w="0" w:type="dxa"/>
            <w:left w:w="108" w:type="dxa"/>
            <w:bottom w:w="0" w:type="dxa"/>
            <w:right w:w="108" w:type="dxa"/>
          </w:tblCellMar>
        </w:tblPrEx>
        <w:tc>
          <w:tcPr>
            <w:tcW w:w="4264" w:type="dxa"/>
            <w:shd w:val="clear" w:color="auto" w:fill="auto"/>
          </w:tcPr>
          <w:p>
            <w:pPr>
              <w:pStyle w:val="35"/>
              <w:rPr>
                <w:highlight w:val="none"/>
              </w:rPr>
            </w:pPr>
            <w:r>
              <w:rPr>
                <w:highlight w:val="none"/>
              </w:rPr>
              <w:drawing>
                <wp:inline distT="0" distB="0" distL="114300" distR="114300">
                  <wp:extent cx="2520315" cy="2160270"/>
                  <wp:effectExtent l="0" t="0" r="13335" b="11430"/>
                  <wp:docPr id="17" name="图片 1"/>
                  <wp:cNvGraphicFramePr/>
                  <a:graphic xmlns:a="http://schemas.openxmlformats.org/drawingml/2006/main">
                    <a:graphicData uri="http://schemas.openxmlformats.org/drawingml/2006/picture">
                      <pic:pic xmlns:pic="http://schemas.openxmlformats.org/drawingml/2006/picture">
                        <pic:nvPicPr>
                          <pic:cNvPr id="17" name="图片 1"/>
                          <pic:cNvPicPr/>
                        </pic:nvPicPr>
                        <pic:blipFill>
                          <a:blip r:embed="rId25"/>
                          <a:stretch>
                            <a:fillRect/>
                          </a:stretch>
                        </pic:blipFill>
                        <pic:spPr>
                          <a:xfrm>
                            <a:off x="0" y="0"/>
                            <a:ext cx="2520315" cy="2160270"/>
                          </a:xfrm>
                          <a:prstGeom prst="rect">
                            <a:avLst/>
                          </a:prstGeom>
                          <a:noFill/>
                          <a:ln>
                            <a:noFill/>
                          </a:ln>
                        </pic:spPr>
                      </pic:pic>
                    </a:graphicData>
                  </a:graphic>
                </wp:inline>
              </w:drawing>
            </w:r>
          </w:p>
          <w:p>
            <w:pPr>
              <w:pStyle w:val="35"/>
              <w:rPr>
                <w:rFonts w:hint="default" w:eastAsia="仿宋"/>
                <w:highlight w:val="none"/>
                <w:lang w:val="en-US" w:eastAsia="zh-CN"/>
              </w:rPr>
            </w:pPr>
            <w:r>
              <w:rPr>
                <w:rFonts w:hint="eastAsia"/>
                <w:highlight w:val="none"/>
                <w:lang w:eastAsia="zh-CN"/>
              </w:rPr>
              <w:t>图</w:t>
            </w:r>
            <w:r>
              <w:rPr>
                <w:rFonts w:hint="eastAsia"/>
                <w:highlight w:val="none"/>
                <w:lang w:val="en-US" w:eastAsia="zh-CN"/>
              </w:rPr>
              <w:t xml:space="preserve">19 </w:t>
            </w:r>
            <w:r>
              <w:rPr>
                <w:rFonts w:hint="eastAsia"/>
                <w:highlight w:val="none"/>
              </w:rPr>
              <w:t>宿州公司组织发电部相关人员开展防误操作及厂用电中断事故应急处置演练</w:t>
            </w:r>
          </w:p>
        </w:tc>
        <w:tc>
          <w:tcPr>
            <w:tcW w:w="4264" w:type="dxa"/>
            <w:shd w:val="clear" w:color="auto" w:fill="auto"/>
          </w:tcPr>
          <w:p>
            <w:pPr>
              <w:pStyle w:val="35"/>
              <w:rPr>
                <w:highlight w:val="none"/>
              </w:rPr>
            </w:pPr>
            <w:r>
              <w:rPr>
                <w:highlight w:val="none"/>
              </w:rPr>
              <w:drawing>
                <wp:inline distT="0" distB="0" distL="114300" distR="114300">
                  <wp:extent cx="2520315" cy="2160270"/>
                  <wp:effectExtent l="0" t="0" r="13335" b="11430"/>
                  <wp:docPr id="18" name="图片 3"/>
                  <wp:cNvGraphicFramePr/>
                  <a:graphic xmlns:a="http://schemas.openxmlformats.org/drawingml/2006/main">
                    <a:graphicData uri="http://schemas.openxmlformats.org/drawingml/2006/picture">
                      <pic:pic xmlns:pic="http://schemas.openxmlformats.org/drawingml/2006/picture">
                        <pic:nvPicPr>
                          <pic:cNvPr id="18" name="图片 3"/>
                          <pic:cNvPicPr/>
                        </pic:nvPicPr>
                        <pic:blipFill>
                          <a:blip r:embed="rId26"/>
                          <a:stretch>
                            <a:fillRect/>
                          </a:stretch>
                        </pic:blipFill>
                        <pic:spPr>
                          <a:xfrm>
                            <a:off x="0" y="0"/>
                            <a:ext cx="2520315" cy="2160270"/>
                          </a:xfrm>
                          <a:prstGeom prst="rect">
                            <a:avLst/>
                          </a:prstGeom>
                          <a:noFill/>
                          <a:ln>
                            <a:noFill/>
                          </a:ln>
                        </pic:spPr>
                      </pic:pic>
                    </a:graphicData>
                  </a:graphic>
                </wp:inline>
              </w:drawing>
            </w:r>
          </w:p>
          <w:p>
            <w:pPr>
              <w:pStyle w:val="35"/>
              <w:rPr>
                <w:rFonts w:hint="default" w:eastAsia="仿宋"/>
                <w:highlight w:val="none"/>
                <w:lang w:val="en-US" w:eastAsia="zh-CN"/>
              </w:rPr>
            </w:pPr>
            <w:r>
              <w:rPr>
                <w:rFonts w:hint="eastAsia"/>
                <w:highlight w:val="none"/>
                <w:lang w:eastAsia="zh-CN"/>
              </w:rPr>
              <w:t>图</w:t>
            </w:r>
            <w:r>
              <w:rPr>
                <w:rFonts w:hint="eastAsia"/>
                <w:highlight w:val="none"/>
                <w:lang w:val="en-US" w:eastAsia="zh-CN"/>
              </w:rPr>
              <w:t>20 宿州公司</w:t>
            </w:r>
            <w:r>
              <w:rPr>
                <w:rFonts w:hint="eastAsia"/>
                <w:highlight w:val="none"/>
                <w:lang w:eastAsia="zh-CN"/>
              </w:rPr>
              <w:t>开展</w:t>
            </w:r>
            <w:r>
              <w:rPr>
                <w:rFonts w:hint="eastAsia"/>
                <w:highlight w:val="none"/>
              </w:rPr>
              <w:t>防人身触电急救培训及现场应急演练活动</w:t>
            </w:r>
          </w:p>
        </w:tc>
      </w:tr>
    </w:tbl>
    <w:p>
      <w:pPr>
        <w:pStyle w:val="34"/>
        <w:rPr>
          <w:rFonts w:hint="eastAsia"/>
          <w:highlight w:val="none"/>
        </w:rPr>
      </w:pPr>
      <w:r>
        <w:rPr>
          <w:rFonts w:hint="eastAsia"/>
          <w:highlight w:val="none"/>
        </w:rPr>
        <w:t>为全面检验运行人员的应急反应能力和应对突发事件的处理能力，确节日期间的安全生产，宿州公司组织发电部相关人员开展防误操作及厂用电中断事故应急处置演练。两次应急预案演练以“误操作”“全厂厂用电中断”为模演题目，主要检验运行人员的技术素质及操作水平，运行值班人员的全局观念，各专业间的配合以及值长组织协调能力以及运行值班员“三熟、三能”的掌握程度，值长及运行人员正确判断和处理事故的能力，考察值长、运行人员是否掌握并能正确执行有关运行管理规程、规定及技术措施，能否正确使用调度术语和操作术语等。演练人员能在值长的指挥下，分工明确，判断准确，处置得当，第一时间“恢复”了设备运行，能把损失降到了最低程度，应急演练取得圆满成功。</w:t>
      </w:r>
    </w:p>
    <w:p>
      <w:pPr>
        <w:pStyle w:val="34"/>
        <w:rPr>
          <w:rFonts w:hint="eastAsia"/>
          <w:highlight w:val="none"/>
        </w:rPr>
      </w:pPr>
      <w:r>
        <w:rPr>
          <w:rFonts w:hint="eastAsia"/>
          <w:highlight w:val="none"/>
        </w:rPr>
        <w:t>为提高公司人员的应急反应能力和应对突发事故的处理能力</w:t>
      </w:r>
      <w:r>
        <w:rPr>
          <w:rFonts w:hint="eastAsia"/>
          <w:highlight w:val="none"/>
          <w:lang w:eastAsia="zh-CN"/>
        </w:rPr>
        <w:t>，</w:t>
      </w:r>
      <w:r>
        <w:rPr>
          <w:rFonts w:hint="eastAsia"/>
          <w:highlight w:val="none"/>
        </w:rPr>
        <w:t>继续做好防灾减灾救灾工作，</w:t>
      </w:r>
      <w:r>
        <w:rPr>
          <w:rFonts w:hint="eastAsia"/>
          <w:highlight w:val="none"/>
          <w:lang w:val="en-US" w:eastAsia="zh-CN"/>
        </w:rPr>
        <w:t>3月23日</w:t>
      </w:r>
      <w:r>
        <w:rPr>
          <w:rFonts w:hint="eastAsia"/>
          <w:highlight w:val="none"/>
        </w:rPr>
        <w:t>，宿州公司安环部组织技术部、发电运行部</w:t>
      </w:r>
      <w:r>
        <w:rPr>
          <w:rFonts w:hint="eastAsia"/>
          <w:highlight w:val="none"/>
          <w:lang w:eastAsia="zh-CN"/>
        </w:rPr>
        <w:t>及外包单位有关人员开展</w:t>
      </w:r>
      <w:r>
        <w:rPr>
          <w:rFonts w:hint="eastAsia"/>
          <w:highlight w:val="none"/>
        </w:rPr>
        <w:t>防人身触电急救培训及现场应急演练活动。本次演练模拟电仪检修人员在400V开关室门口拖拽电缆时发生人身触电，正在进行作业的其他人员发现后迅速切断电源，应急指挥部接到报告立即启动应急救援程序，各应急小组立即赶赴现场，按照应急预案分工进行现场心肺复苏抢救、担架转移、警戒线隔离等各项救援工作。演练过程中每个步骤组织严密、有条不紊，参演人员积极配合、分工明确，展现出良好的应急处置能力。通过本次演练，提高</w:t>
      </w:r>
      <w:r>
        <w:rPr>
          <w:rFonts w:hint="eastAsia"/>
          <w:highlight w:val="none"/>
          <w:lang w:val="en-US" w:eastAsia="zh-CN"/>
        </w:rPr>
        <w:t>了</w:t>
      </w:r>
      <w:r>
        <w:rPr>
          <w:rFonts w:hint="eastAsia"/>
          <w:highlight w:val="none"/>
        </w:rPr>
        <w:t>检修人员处置突发事件的能力，检验了应急预案的实用性和可操作性，</w:t>
      </w:r>
      <w:r>
        <w:rPr>
          <w:rFonts w:hint="eastAsia"/>
          <w:highlight w:val="none"/>
          <w:lang w:val="en-US" w:eastAsia="zh-CN"/>
        </w:rPr>
        <w:t>取得了较好的效果</w:t>
      </w:r>
      <w:r>
        <w:rPr>
          <w:rFonts w:hint="eastAsia"/>
          <w:highlight w:val="none"/>
        </w:rPr>
        <w:t>。</w:t>
      </w:r>
    </w:p>
    <w:tbl>
      <w:tblPr>
        <w:tblStyle w:val="19"/>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rPr>
          <w:trHeight w:val="2932" w:hRule="atLeast"/>
        </w:trPr>
        <w:tc>
          <w:tcPr>
            <w:tcW w:w="4264" w:type="dxa"/>
            <w:shd w:val="clear" w:color="auto" w:fill="auto"/>
          </w:tcPr>
          <w:p>
            <w:pPr>
              <w:jc w:val="center"/>
              <w:rPr>
                <w:rFonts w:ascii="黑体" w:hAnsi="黑体" w:eastAsia="黑体" w:cs="Arial Unicode MS"/>
                <w:b/>
                <w:bCs/>
                <w:kern w:val="0"/>
                <w:sz w:val="18"/>
                <w:szCs w:val="18"/>
                <w:highlight w:val="none"/>
              </w:rPr>
            </w:pPr>
            <w:r>
              <w:rPr>
                <w:rFonts w:hint="eastAsia" w:ascii="仿宋_GB2312" w:eastAsia="仿宋_GB2312"/>
                <w:sz w:val="32"/>
                <w:szCs w:val="32"/>
                <w:highlight w:val="none"/>
                <w:lang w:eastAsia="zh-CN"/>
              </w:rPr>
              <w:drawing>
                <wp:inline distT="0" distB="0" distL="114300" distR="114300">
                  <wp:extent cx="2520315" cy="1800225"/>
                  <wp:effectExtent l="0" t="0" r="13335" b="9525"/>
                  <wp:docPr id="26" name="图片 26" descr="IMG_7260"/>
                  <wp:cNvGraphicFramePr/>
                  <a:graphic xmlns:a="http://schemas.openxmlformats.org/drawingml/2006/main">
                    <a:graphicData uri="http://schemas.openxmlformats.org/drawingml/2006/picture">
                      <pic:pic xmlns:pic="http://schemas.openxmlformats.org/drawingml/2006/picture">
                        <pic:nvPicPr>
                          <pic:cNvPr id="26" name="图片 26" descr="IMG_7260"/>
                          <pic:cNvPicPr/>
                        </pic:nvPicPr>
                        <pic:blipFill>
                          <a:blip r:embed="rId27"/>
                          <a:stretch>
                            <a:fillRect/>
                          </a:stretch>
                        </pic:blipFill>
                        <pic:spPr>
                          <a:xfrm>
                            <a:off x="0" y="0"/>
                            <a:ext cx="2520315" cy="1800225"/>
                          </a:xfrm>
                          <a:prstGeom prst="rect">
                            <a:avLst/>
                          </a:prstGeom>
                        </pic:spPr>
                      </pic:pic>
                    </a:graphicData>
                  </a:graphic>
                </wp:inline>
              </w:drawing>
            </w:r>
          </w:p>
        </w:tc>
        <w:tc>
          <w:tcPr>
            <w:tcW w:w="4264" w:type="dxa"/>
            <w:shd w:val="clear" w:color="auto" w:fill="auto"/>
          </w:tcPr>
          <w:p>
            <w:pPr>
              <w:jc w:val="center"/>
              <w:rPr>
                <w:rFonts w:ascii="黑体" w:hAnsi="黑体" w:eastAsia="黑体" w:cs="Arial Unicode MS"/>
                <w:b/>
                <w:bCs/>
                <w:kern w:val="0"/>
                <w:sz w:val="18"/>
                <w:szCs w:val="18"/>
                <w:highlight w:val="none"/>
              </w:rPr>
            </w:pPr>
            <w:r>
              <w:rPr>
                <w:rFonts w:hint="eastAsia" w:ascii="仿宋_GB2312" w:eastAsia="仿宋_GB2312"/>
                <w:sz w:val="32"/>
                <w:szCs w:val="32"/>
                <w:highlight w:val="none"/>
                <w:lang w:eastAsia="zh-CN"/>
              </w:rPr>
              <w:drawing>
                <wp:anchor distT="0" distB="0" distL="114300" distR="114300" simplePos="0" relativeHeight="251660288" behindDoc="1" locked="0" layoutInCell="1" allowOverlap="1">
                  <wp:simplePos x="0" y="0"/>
                  <wp:positionH relativeFrom="column">
                    <wp:posOffset>6350</wp:posOffset>
                  </wp:positionH>
                  <wp:positionV relativeFrom="paragraph">
                    <wp:posOffset>16510</wp:posOffset>
                  </wp:positionV>
                  <wp:extent cx="2520315" cy="1800225"/>
                  <wp:effectExtent l="0" t="0" r="51435" b="9525"/>
                  <wp:wrapTight wrapText="bothSides">
                    <wp:wrapPolygon>
                      <wp:start x="0" y="0"/>
                      <wp:lineTo x="0" y="21486"/>
                      <wp:lineTo x="21388" y="21486"/>
                      <wp:lineTo x="21388" y="0"/>
                      <wp:lineTo x="0" y="0"/>
                    </wp:wrapPolygon>
                  </wp:wrapTight>
                  <wp:docPr id="28" name="图片 28" descr="888C8BD150AF78421298072B827356F5"/>
                  <wp:cNvGraphicFramePr/>
                  <a:graphic xmlns:a="http://schemas.openxmlformats.org/drawingml/2006/main">
                    <a:graphicData uri="http://schemas.openxmlformats.org/drawingml/2006/picture">
                      <pic:pic xmlns:pic="http://schemas.openxmlformats.org/drawingml/2006/picture">
                        <pic:nvPicPr>
                          <pic:cNvPr id="28" name="图片 28" descr="888C8BD150AF78421298072B827356F5"/>
                          <pic:cNvPicPr/>
                        </pic:nvPicPr>
                        <pic:blipFill>
                          <a:blip r:embed="rId28"/>
                          <a:stretch>
                            <a:fillRect/>
                          </a:stretch>
                        </pic:blipFill>
                        <pic:spPr>
                          <a:xfrm>
                            <a:off x="0" y="0"/>
                            <a:ext cx="2520315" cy="1800225"/>
                          </a:xfrm>
                          <a:prstGeom prst="rect">
                            <a:avLst/>
                          </a:prstGeom>
                        </pic:spPr>
                      </pic:pic>
                    </a:graphicData>
                  </a:graphic>
                </wp:anchor>
              </w:drawing>
            </w:r>
          </w:p>
        </w:tc>
      </w:tr>
      <w:tr>
        <w:tblPrEx>
          <w:tblCellMar>
            <w:top w:w="0" w:type="dxa"/>
            <w:left w:w="108" w:type="dxa"/>
            <w:bottom w:w="0" w:type="dxa"/>
            <w:right w:w="108" w:type="dxa"/>
          </w:tblCellMar>
        </w:tblPrEx>
        <w:tc>
          <w:tcPr>
            <w:tcW w:w="4264" w:type="dxa"/>
            <w:shd w:val="clear" w:color="auto" w:fill="auto"/>
          </w:tcPr>
          <w:p>
            <w:pPr>
              <w:pStyle w:val="35"/>
              <w:rPr>
                <w:rFonts w:hint="eastAsia" w:eastAsia="仿宋"/>
                <w:highlight w:val="none"/>
                <w:lang w:eastAsia="zh-CN"/>
              </w:rPr>
            </w:pPr>
            <w:r>
              <w:rPr>
                <w:rFonts w:hint="eastAsia"/>
                <w:highlight w:val="none"/>
              </w:rPr>
              <w:t>图</w:t>
            </w:r>
            <w:r>
              <w:rPr>
                <w:rFonts w:hint="eastAsia"/>
                <w:highlight w:val="none"/>
                <w:lang w:val="en-US" w:eastAsia="zh-CN"/>
              </w:rPr>
              <w:t>21</w:t>
            </w:r>
            <w:r>
              <w:rPr>
                <w:highlight w:val="none"/>
              </w:rPr>
              <w:t xml:space="preserve"> </w:t>
            </w:r>
            <w:r>
              <w:rPr>
                <w:rFonts w:hint="eastAsia"/>
                <w:highlight w:val="none"/>
                <w:lang w:eastAsia="zh-CN"/>
              </w:rPr>
              <w:t>淮南公司医疗废弃物应急处置演练</w:t>
            </w:r>
          </w:p>
        </w:tc>
        <w:tc>
          <w:tcPr>
            <w:tcW w:w="4264" w:type="dxa"/>
            <w:shd w:val="clear" w:color="auto" w:fill="auto"/>
          </w:tcPr>
          <w:p>
            <w:pPr>
              <w:pStyle w:val="35"/>
              <w:rPr>
                <w:rFonts w:hint="eastAsia" w:eastAsia="仿宋"/>
                <w:highlight w:val="none"/>
                <w:lang w:eastAsia="zh-CN"/>
              </w:rPr>
            </w:pPr>
            <w:r>
              <w:rPr>
                <w:rFonts w:hint="eastAsia"/>
                <w:highlight w:val="none"/>
              </w:rPr>
              <w:t>图</w:t>
            </w:r>
            <w:r>
              <w:rPr>
                <w:rFonts w:hint="eastAsia"/>
                <w:highlight w:val="none"/>
                <w:lang w:val="en-US" w:eastAsia="zh-CN"/>
              </w:rPr>
              <w:t>22</w:t>
            </w:r>
            <w:r>
              <w:rPr>
                <w:highlight w:val="none"/>
              </w:rPr>
              <w:t xml:space="preserve"> </w:t>
            </w:r>
            <w:r>
              <w:rPr>
                <w:rFonts w:hint="eastAsia"/>
                <w:highlight w:val="none"/>
                <w:lang w:eastAsia="zh-CN"/>
              </w:rPr>
              <w:t>临泉公司发电运行部组织日常学习</w:t>
            </w:r>
          </w:p>
        </w:tc>
      </w:tr>
    </w:tbl>
    <w:p>
      <w:pPr>
        <w:pStyle w:val="4"/>
        <w:spacing w:before="240" w:after="240"/>
        <w:rPr>
          <w:rFonts w:ascii="宋体" w:hAnsi="宋体"/>
          <w:highlight w:val="none"/>
        </w:rPr>
      </w:pPr>
      <w:bookmarkStart w:id="34" w:name="_Toc32933558"/>
      <w:bookmarkStart w:id="35" w:name="_Toc33176292"/>
      <w:bookmarkStart w:id="36" w:name="_Toc32950336"/>
      <w:r>
        <w:rPr>
          <w:rFonts w:hint="eastAsia" w:ascii="宋体" w:hAnsi="宋体"/>
          <w:highlight w:val="none"/>
        </w:rPr>
        <w:t>积极落实企业主体责任，切实保障员工身体健康</w:t>
      </w:r>
      <w:bookmarkEnd w:id="34"/>
      <w:bookmarkEnd w:id="35"/>
      <w:bookmarkEnd w:id="36"/>
    </w:p>
    <w:p>
      <w:pPr>
        <w:pStyle w:val="34"/>
        <w:rPr>
          <w:rFonts w:hint="eastAsia" w:cs="仿宋_GB2312"/>
          <w:highlight w:val="none"/>
        </w:rPr>
      </w:pPr>
      <w:r>
        <w:rPr>
          <w:rFonts w:hint="eastAsia" w:cs="仿宋_GB2312"/>
          <w:highlight w:val="none"/>
        </w:rPr>
        <w:t>为保障员工身体健康，加强职业健康监护，切实维护员工健康权益。环保发电公司要求各子公司</w:t>
      </w:r>
      <w:r>
        <w:rPr>
          <w:rFonts w:hint="eastAsia"/>
          <w:highlight w:val="none"/>
        </w:rPr>
        <w:t>都高度重视职工的身体健康，尤其是职业病防治工作。每年定期开展职业病防治专题讲座和培训，按照有关规定和要求发放劳动保护用品，并组织职工开展职业病防治专项检查，做到“早预防、早检查、早处理”，杜绝或减小职业病对职工的危害。</w:t>
      </w:r>
      <w:r>
        <w:rPr>
          <w:rFonts w:hint="eastAsia" w:cs="仿宋_GB2312"/>
          <w:highlight w:val="none"/>
        </w:rPr>
        <w:t>公司坚持以人为本的经营理念，高度重视员工健康，始终把员工的健康放在第一位。</w:t>
      </w:r>
    </w:p>
    <w:p>
      <w:pPr>
        <w:pStyle w:val="34"/>
        <w:rPr>
          <w:rFonts w:hint="eastAsia" w:cs="仿宋_GB2312"/>
          <w:highlight w:val="none"/>
          <w:lang w:val="en-US" w:eastAsia="zh-CN"/>
        </w:rPr>
      </w:pPr>
      <w:r>
        <w:rPr>
          <w:rFonts w:hint="eastAsia" w:cs="仿宋_GB2312"/>
          <w:highlight w:val="none"/>
          <w:lang w:val="en-US" w:eastAsia="zh-CN"/>
        </w:rPr>
        <w:t>宿州公司为了更好地开展职业病防治工作，保障员工身体健康，加强职业健康监护，切实维护员工健康权益，9月份，宿州公司分批次组织一线员工进行职业病健康体检。检查项目包括心电图、彩超、X线胸片、肝功能、血常规和尿常规等多个项目，针对不同工种，体检项目也做了相应区分，同时还把注意事项提前告知员工做好相关准备工作。宿州公司坚持以人为本的经营理念，高度重视员工健康，始终把员工的健康放在第一位。通过此次职业病健康体检，让员工在掌握自身健康状况的同时，也提高了对职业病的预防意识和能力，确保以更好的精神面貌投入到工作中去。</w:t>
      </w:r>
    </w:p>
    <w:p>
      <w:pPr>
        <w:pStyle w:val="34"/>
        <w:rPr>
          <w:rFonts w:hint="eastAsia" w:cs="仿宋_GB2312"/>
          <w:highlight w:val="none"/>
          <w:lang w:val="en-US" w:eastAsia="zh-CN"/>
        </w:rPr>
      </w:pPr>
      <w:r>
        <w:rPr>
          <w:rFonts w:hint="eastAsia" w:cs="仿宋_GB2312"/>
          <w:highlight w:val="none"/>
          <w:lang w:val="en-US" w:eastAsia="zh-CN"/>
        </w:rPr>
        <w:t>临泉公司一贯奉行“以人为本”的管理理念，使员工的个人价值观和企业的价值观得到统一。公司与职工的劳动合同签订率达到100%，为职工全部办理“五险二金”。为“关爱员工，以人为本”不仅仅是一句话，更要落实到行动中，公司始终把员工身心健康作为企业健康可持续发展的重点工作来做。提倡员工在工作之余，加强身体锻炼，增强体质，以健康的身体饱满的热情投入工作之中， 增强企业凝聚力，构建和谐的工作环境。</w:t>
      </w:r>
    </w:p>
    <w:p>
      <w:pPr>
        <w:pStyle w:val="34"/>
        <w:rPr>
          <w:rFonts w:hint="eastAsia" w:cs="仿宋_GB2312"/>
          <w:highlight w:val="none"/>
          <w:lang w:val="en-US" w:eastAsia="zh-CN"/>
        </w:rPr>
      </w:pPr>
    </w:p>
    <w:tbl>
      <w:tblPr>
        <w:tblStyle w:val="19"/>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shd w:val="clear" w:color="auto" w:fill="auto"/>
          </w:tcPr>
          <w:p>
            <w:pPr>
              <w:pStyle w:val="39"/>
              <w:rPr>
                <w:highlight w:val="none"/>
              </w:rPr>
            </w:pPr>
            <w:r>
              <w:rPr>
                <w:rFonts w:ascii="宋体" w:hAnsi="宋体" w:cs="宋体"/>
                <w:sz w:val="24"/>
                <w:highlight w:val="none"/>
              </w:rPr>
              <w:drawing>
                <wp:anchor distT="0" distB="0" distL="114300" distR="114300" simplePos="0" relativeHeight="251663360" behindDoc="0" locked="0" layoutInCell="1" allowOverlap="1">
                  <wp:simplePos x="0" y="0"/>
                  <wp:positionH relativeFrom="column">
                    <wp:posOffset>33020</wp:posOffset>
                  </wp:positionH>
                  <wp:positionV relativeFrom="paragraph">
                    <wp:posOffset>-10160</wp:posOffset>
                  </wp:positionV>
                  <wp:extent cx="2520315" cy="2160270"/>
                  <wp:effectExtent l="0" t="0" r="13335" b="11430"/>
                  <wp:wrapNone/>
                  <wp:docPr id="64" name="图片 2" descr="IMG_256"/>
                  <wp:cNvGraphicFramePr/>
                  <a:graphic xmlns:a="http://schemas.openxmlformats.org/drawingml/2006/main">
                    <a:graphicData uri="http://schemas.openxmlformats.org/drawingml/2006/picture">
                      <pic:pic xmlns:pic="http://schemas.openxmlformats.org/drawingml/2006/picture">
                        <pic:nvPicPr>
                          <pic:cNvPr id="64" name="图片 2" descr="IMG_256"/>
                          <pic:cNvPicPr/>
                        </pic:nvPicPr>
                        <pic:blipFill>
                          <a:blip r:embed="rId29"/>
                          <a:stretch>
                            <a:fillRect/>
                          </a:stretch>
                        </pic:blipFill>
                        <pic:spPr>
                          <a:xfrm>
                            <a:off x="0" y="0"/>
                            <a:ext cx="2520315" cy="2160270"/>
                          </a:xfrm>
                          <a:prstGeom prst="rect">
                            <a:avLst/>
                          </a:prstGeom>
                          <a:noFill/>
                          <a:ln w="9525">
                            <a:noFill/>
                          </a:ln>
                        </pic:spPr>
                      </pic:pic>
                    </a:graphicData>
                  </a:graphic>
                </wp:anchor>
              </w:drawing>
            </w:r>
          </w:p>
        </w:tc>
        <w:tc>
          <w:tcPr>
            <w:tcW w:w="4264" w:type="dxa"/>
            <w:shd w:val="clear" w:color="auto" w:fill="auto"/>
          </w:tcPr>
          <w:p>
            <w:pPr>
              <w:pStyle w:val="39"/>
              <w:rPr>
                <w:highlight w:val="none"/>
              </w:rPr>
            </w:pPr>
            <w:r>
              <w:rPr>
                <w:highlight w:val="none"/>
              </w:rPr>
              <w:drawing>
                <wp:inline distT="0" distB="0" distL="0" distR="0">
                  <wp:extent cx="2520315" cy="2160270"/>
                  <wp:effectExtent l="0" t="0" r="13335" b="11430"/>
                  <wp:docPr id="30" name="图片 30" descr="C:\Users\206-2\AppData\Roaming\Tencent\Users\76319798\QQ\WinTemp\RichOle\)M]PZM{MA{R0LYA6TC%H71E.png"/>
                  <wp:cNvGraphicFramePr/>
                  <a:graphic xmlns:a="http://schemas.openxmlformats.org/drawingml/2006/main">
                    <a:graphicData uri="http://schemas.openxmlformats.org/drawingml/2006/picture">
                      <pic:pic xmlns:pic="http://schemas.openxmlformats.org/drawingml/2006/picture">
                        <pic:nvPicPr>
                          <pic:cNvPr id="30" name="图片 30" descr="C:\Users\206-2\AppData\Roaming\Tencent\Users\76319798\QQ\WinTemp\RichOle\)M]PZM{MA{R0LYA6TC%H71E.pn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520315" cy="216027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4" w:type="dxa"/>
            <w:shd w:val="clear" w:color="auto" w:fill="auto"/>
          </w:tcPr>
          <w:p>
            <w:pPr>
              <w:pStyle w:val="35"/>
              <w:rPr>
                <w:highlight w:val="none"/>
              </w:rPr>
            </w:pPr>
            <w:r>
              <w:rPr>
                <w:rFonts w:hint="eastAsia"/>
                <w:highlight w:val="none"/>
              </w:rPr>
              <w:t>图</w:t>
            </w:r>
            <w:r>
              <w:rPr>
                <w:rFonts w:hint="eastAsia"/>
                <w:highlight w:val="none"/>
                <w:lang w:val="en-US" w:eastAsia="zh-CN"/>
              </w:rPr>
              <w:t>23</w:t>
            </w:r>
            <w:r>
              <w:rPr>
                <w:highlight w:val="none"/>
              </w:rPr>
              <w:t xml:space="preserve"> </w:t>
            </w:r>
            <w:r>
              <w:rPr>
                <w:rFonts w:hint="eastAsia"/>
                <w:highlight w:val="none"/>
              </w:rPr>
              <w:t>安庆公司健康知识讲座</w:t>
            </w:r>
          </w:p>
        </w:tc>
        <w:tc>
          <w:tcPr>
            <w:tcW w:w="4264" w:type="dxa"/>
            <w:shd w:val="clear" w:color="auto" w:fill="auto"/>
          </w:tcPr>
          <w:p>
            <w:pPr>
              <w:pStyle w:val="35"/>
              <w:rPr>
                <w:highlight w:val="none"/>
              </w:rPr>
            </w:pPr>
            <w:r>
              <w:rPr>
                <w:rFonts w:hint="eastAsia"/>
                <w:highlight w:val="none"/>
              </w:rPr>
              <w:t>图</w:t>
            </w:r>
            <w:r>
              <w:rPr>
                <w:rFonts w:hint="eastAsia"/>
                <w:highlight w:val="none"/>
                <w:lang w:val="en-US" w:eastAsia="zh-CN"/>
              </w:rPr>
              <w:t>24</w:t>
            </w:r>
            <w:r>
              <w:rPr>
                <w:highlight w:val="none"/>
              </w:rPr>
              <w:t xml:space="preserve"> </w:t>
            </w:r>
            <w:r>
              <w:rPr>
                <w:rFonts w:hint="eastAsia"/>
                <w:highlight w:val="none"/>
              </w:rPr>
              <w:t>安庆公司职业健康体检项目</w:t>
            </w:r>
          </w:p>
        </w:tc>
      </w:tr>
      <w:tr>
        <w:tblPrEx>
          <w:tblCellMar>
            <w:top w:w="0" w:type="dxa"/>
            <w:left w:w="108" w:type="dxa"/>
            <w:bottom w:w="0" w:type="dxa"/>
            <w:right w:w="108" w:type="dxa"/>
          </w:tblCellMar>
        </w:tblPrEx>
        <w:tc>
          <w:tcPr>
            <w:tcW w:w="8528" w:type="dxa"/>
            <w:gridSpan w:val="2"/>
            <w:shd w:val="clear" w:color="auto" w:fill="auto"/>
          </w:tcPr>
          <w:p>
            <w:pPr>
              <w:pStyle w:val="35"/>
              <w:rPr>
                <w:rFonts w:hint="eastAsia"/>
                <w:highlight w:val="none"/>
                <w:lang w:eastAsia="zh-CN"/>
              </w:rPr>
            </w:pPr>
            <w:r>
              <w:rPr>
                <w:rFonts w:hint="eastAsia"/>
                <w:highlight w:val="none"/>
                <w:lang w:eastAsia="zh-CN"/>
              </w:rPr>
              <w:drawing>
                <wp:anchor distT="0" distB="0" distL="114300" distR="114300" simplePos="0" relativeHeight="251662336" behindDoc="1" locked="0" layoutInCell="1" allowOverlap="1">
                  <wp:simplePos x="0" y="0"/>
                  <wp:positionH relativeFrom="column">
                    <wp:posOffset>1370330</wp:posOffset>
                  </wp:positionH>
                  <wp:positionV relativeFrom="paragraph">
                    <wp:posOffset>69215</wp:posOffset>
                  </wp:positionV>
                  <wp:extent cx="2520315" cy="2160270"/>
                  <wp:effectExtent l="0" t="0" r="0" b="11430"/>
                  <wp:wrapTight wrapText="bothSides">
                    <wp:wrapPolygon>
                      <wp:start x="0" y="0"/>
                      <wp:lineTo x="0" y="21333"/>
                      <wp:lineTo x="21388" y="21333"/>
                      <wp:lineTo x="21388" y="0"/>
                      <wp:lineTo x="0" y="0"/>
                    </wp:wrapPolygon>
                  </wp:wrapTight>
                  <wp:docPr id="19" name="图片 19" descr="IMG_0682"/>
                  <wp:cNvGraphicFramePr/>
                  <a:graphic xmlns:a="http://schemas.openxmlformats.org/drawingml/2006/main">
                    <a:graphicData uri="http://schemas.openxmlformats.org/drawingml/2006/picture">
                      <pic:pic xmlns:pic="http://schemas.openxmlformats.org/drawingml/2006/picture">
                        <pic:nvPicPr>
                          <pic:cNvPr id="19" name="图片 19" descr="IMG_0682"/>
                          <pic:cNvPicPr/>
                        </pic:nvPicPr>
                        <pic:blipFill>
                          <a:blip r:embed="rId31"/>
                          <a:stretch>
                            <a:fillRect/>
                          </a:stretch>
                        </pic:blipFill>
                        <pic:spPr>
                          <a:xfrm>
                            <a:off x="0" y="0"/>
                            <a:ext cx="2520315" cy="2160270"/>
                          </a:xfrm>
                          <a:prstGeom prst="rect">
                            <a:avLst/>
                          </a:prstGeom>
                        </pic:spPr>
                      </pic:pic>
                    </a:graphicData>
                  </a:graphic>
                </wp:anchor>
              </w:drawing>
            </w:r>
          </w:p>
          <w:p>
            <w:pPr>
              <w:bidi w:val="0"/>
              <w:rPr>
                <w:rFonts w:hint="eastAsia"/>
                <w:highlight w:val="none"/>
                <w:lang w:eastAsia="zh-CN"/>
              </w:rPr>
            </w:pPr>
          </w:p>
          <w:p>
            <w:pPr>
              <w:tabs>
                <w:tab w:val="left" w:pos="6462"/>
              </w:tabs>
              <w:bidi w:val="0"/>
              <w:jc w:val="left"/>
              <w:rPr>
                <w:rFonts w:hint="eastAsia"/>
                <w:highlight w:val="none"/>
                <w:lang w:eastAsia="zh-CN"/>
              </w:rPr>
            </w:pPr>
            <w:r>
              <w:rPr>
                <w:rFonts w:hint="eastAsia"/>
                <w:highlight w:val="none"/>
                <w:lang w:eastAsia="zh-CN"/>
              </w:rPr>
              <w:tab/>
            </w:r>
          </w:p>
          <w:p>
            <w:pPr>
              <w:pStyle w:val="18"/>
              <w:rPr>
                <w:rFonts w:hint="eastAsia"/>
                <w:highlight w:val="none"/>
                <w:lang w:eastAsia="zh-CN"/>
              </w:rPr>
            </w:pPr>
          </w:p>
          <w:p>
            <w:pPr>
              <w:pStyle w:val="18"/>
              <w:rPr>
                <w:rFonts w:hint="eastAsia"/>
                <w:highlight w:val="none"/>
                <w:lang w:eastAsia="zh-CN"/>
              </w:rPr>
            </w:pPr>
          </w:p>
          <w:p>
            <w:pPr>
              <w:pStyle w:val="18"/>
              <w:rPr>
                <w:rFonts w:hint="eastAsia"/>
                <w:highlight w:val="none"/>
                <w:lang w:eastAsia="zh-CN"/>
              </w:rPr>
            </w:pPr>
          </w:p>
          <w:p>
            <w:pPr>
              <w:pStyle w:val="18"/>
              <w:rPr>
                <w:rFonts w:hint="eastAsia"/>
                <w:highlight w:val="none"/>
                <w:lang w:eastAsia="zh-CN"/>
              </w:rPr>
            </w:pPr>
          </w:p>
          <w:p>
            <w:pPr>
              <w:pStyle w:val="18"/>
              <w:rPr>
                <w:rFonts w:hint="eastAsia"/>
                <w:highlight w:val="none"/>
                <w:lang w:eastAsia="zh-CN"/>
              </w:rPr>
            </w:pPr>
          </w:p>
          <w:p>
            <w:pPr>
              <w:pStyle w:val="18"/>
              <w:rPr>
                <w:rFonts w:hint="eastAsia"/>
                <w:highlight w:val="none"/>
                <w:lang w:eastAsia="zh-CN"/>
              </w:rPr>
            </w:pPr>
          </w:p>
          <w:p>
            <w:pPr>
              <w:pStyle w:val="18"/>
              <w:rPr>
                <w:rFonts w:hint="eastAsia"/>
                <w:highlight w:val="none"/>
                <w:lang w:eastAsia="zh-CN"/>
              </w:rPr>
            </w:pPr>
          </w:p>
          <w:p>
            <w:pPr>
              <w:pStyle w:val="18"/>
              <w:ind w:firstLine="2319" w:firstLineChars="1100"/>
              <w:jc w:val="both"/>
              <w:rPr>
                <w:rFonts w:hint="default"/>
                <w:highlight w:val="none"/>
                <w:lang w:val="en-US" w:eastAsia="zh-CN"/>
              </w:rPr>
            </w:pPr>
            <w:r>
              <w:rPr>
                <w:rFonts w:hint="eastAsia" w:ascii="仿宋" w:hAnsi="仿宋" w:eastAsia="仿宋" w:cs="仿宋"/>
                <w:b/>
                <w:bCs/>
                <w:highlight w:val="none"/>
                <w:lang w:eastAsia="zh-CN"/>
              </w:rPr>
              <w:t>图</w:t>
            </w:r>
            <w:r>
              <w:rPr>
                <w:rFonts w:hint="eastAsia" w:ascii="仿宋" w:hAnsi="仿宋" w:eastAsia="仿宋" w:cs="仿宋"/>
                <w:b/>
                <w:bCs/>
                <w:highlight w:val="none"/>
                <w:lang w:val="en-US" w:eastAsia="zh-CN"/>
              </w:rPr>
              <w:t>25 临泉公司开展员工体检</w:t>
            </w:r>
          </w:p>
        </w:tc>
      </w:tr>
    </w:tbl>
    <w:p>
      <w:pPr>
        <w:pStyle w:val="4"/>
        <w:spacing w:before="240" w:after="240"/>
        <w:rPr>
          <w:rFonts w:ascii="宋体" w:hAnsi="宋体"/>
          <w:highlight w:val="none"/>
        </w:rPr>
      </w:pPr>
      <w:bookmarkStart w:id="37" w:name="_Toc33176293"/>
      <w:bookmarkStart w:id="38" w:name="_Toc32950337"/>
      <w:bookmarkStart w:id="39" w:name="_Toc32933559"/>
      <w:r>
        <w:rPr>
          <w:rFonts w:hint="eastAsia" w:ascii="宋体" w:hAnsi="宋体"/>
          <w:highlight w:val="none"/>
        </w:rPr>
        <w:t>积极助力员工成长，稳步成就企业未来</w:t>
      </w:r>
      <w:bookmarkEnd w:id="37"/>
      <w:bookmarkEnd w:id="38"/>
      <w:bookmarkEnd w:id="39"/>
    </w:p>
    <w:p>
      <w:pPr>
        <w:pStyle w:val="34"/>
        <w:rPr>
          <w:highlight w:val="none"/>
        </w:rPr>
      </w:pPr>
      <w:r>
        <w:rPr>
          <w:rFonts w:hint="eastAsia"/>
          <w:highlight w:val="none"/>
        </w:rPr>
        <w:t>环保发电公司秉承以人为本的理念，重视员工职业发展，积极探索在保持稳定的基础上继续追求创新与发展，公司始终把培养、爱护人才作为企业兴盛的头等大事。</w:t>
      </w:r>
    </w:p>
    <w:p>
      <w:pPr>
        <w:pStyle w:val="34"/>
        <w:rPr>
          <w:highlight w:val="none"/>
        </w:rPr>
      </w:pPr>
      <w:r>
        <w:rPr>
          <w:rFonts w:hint="eastAsia"/>
          <w:highlight w:val="none"/>
        </w:rPr>
        <w:t>根据集团公司集中管控的新要求，为更规范的进行子公司中层管理人员的选拔任用，环保发电公司改变了子公司中层干部选拔任用的方式。现子公司中层管理人员的选拔，先由子公司提出需求，后经公司党委会研究。公司党委研究同意后，由公司党委人事部到相关应的子公司进行民主推荐，并会同子公司进行任职考察等各项工作。考察后，由子公司上报相关资料再上公司党委研究，党委会研究通过后，给予任职批复，由子公司办理公示、任职。</w:t>
      </w:r>
      <w:r>
        <w:rPr>
          <w:rFonts w:hint="eastAsia" w:ascii="仿宋" w:hAnsi="仿宋" w:eastAsia="仿宋" w:cs="仿宋"/>
          <w:sz w:val="28"/>
          <w:szCs w:val="28"/>
          <w:highlight w:val="none"/>
        </w:rPr>
        <w:t>2020年全年选拔任用了12人；选拔了交流挂职高管5人；以交流轮岗方式对13名中层管理人员岗位进行了调整。截止2020年年底，公司管理的中层干部共50人，其中公司本部中层15人，子公司高管35人。</w:t>
      </w:r>
      <w:r>
        <w:rPr>
          <w:rFonts w:hint="eastAsia"/>
          <w:highlight w:val="none"/>
        </w:rPr>
        <w:t>公司通过内部的选拔机制、交流轮岗机制，将一些“想干事、会干事、干成事、不误事”的优秀管理人员推举到重要岗位上来，也为夯实子公司高管廉洁从业奠定了基础，更为公司干部队伍的建设、为公司的快速发展提供了人才上的支持。</w:t>
      </w:r>
    </w:p>
    <w:p>
      <w:pPr>
        <w:pStyle w:val="4"/>
        <w:spacing w:before="240" w:after="240"/>
        <w:rPr>
          <w:rFonts w:ascii="宋体" w:hAnsi="宋体"/>
          <w:highlight w:val="none"/>
        </w:rPr>
      </w:pPr>
      <w:bookmarkStart w:id="40" w:name="_Toc33176294"/>
      <w:bookmarkStart w:id="41" w:name="_Toc32950338"/>
      <w:bookmarkStart w:id="42" w:name="_Toc32933560"/>
      <w:r>
        <w:rPr>
          <w:rFonts w:hint="eastAsia" w:ascii="宋体" w:hAnsi="宋体"/>
          <w:highlight w:val="none"/>
        </w:rPr>
        <w:t>积极落实企业民主管理规定，促进企业持续健康发展</w:t>
      </w:r>
      <w:bookmarkEnd w:id="40"/>
      <w:bookmarkEnd w:id="41"/>
      <w:bookmarkEnd w:id="42"/>
    </w:p>
    <w:p>
      <w:pPr>
        <w:pStyle w:val="34"/>
        <w:rPr>
          <w:rFonts w:hint="eastAsia"/>
          <w:highlight w:val="none"/>
        </w:rPr>
      </w:pPr>
      <w:r>
        <w:rPr>
          <w:rFonts w:hint="eastAsia"/>
          <w:highlight w:val="none"/>
        </w:rPr>
        <w:t>环保发电公司积极落实职代会制度，规范民主管理形式。20</w:t>
      </w:r>
      <w:r>
        <w:rPr>
          <w:highlight w:val="none"/>
        </w:rPr>
        <w:t>20</w:t>
      </w:r>
      <w:r>
        <w:rPr>
          <w:rFonts w:hint="eastAsia"/>
          <w:highlight w:val="none"/>
        </w:rPr>
        <w:t>年</w:t>
      </w:r>
      <w:r>
        <w:rPr>
          <w:highlight w:val="none"/>
        </w:rPr>
        <w:t>1</w:t>
      </w:r>
      <w:r>
        <w:rPr>
          <w:rFonts w:hint="eastAsia"/>
          <w:highlight w:val="none"/>
        </w:rPr>
        <w:t>月</w:t>
      </w:r>
      <w:r>
        <w:rPr>
          <w:highlight w:val="none"/>
        </w:rPr>
        <w:t>19</w:t>
      </w:r>
      <w:r>
        <w:rPr>
          <w:rFonts w:hint="eastAsia"/>
          <w:highlight w:val="none"/>
        </w:rPr>
        <w:t>日，公司召开一届八次职代会暨一届七次工代会，</w:t>
      </w:r>
      <w:r>
        <w:rPr>
          <w:highlight w:val="none"/>
        </w:rPr>
        <w:t>全面总结公司2019年工作，明确2020年工作思路和目标任务，并与子公司代表签署《2020年党风廉政责任书》和《2020年经营目标责任书》</w:t>
      </w:r>
      <w:r>
        <w:rPr>
          <w:rFonts w:hint="eastAsia"/>
          <w:highlight w:val="none"/>
        </w:rPr>
        <w:t>。同时公司畅通职工民主参与渠道，完善企务公开制度，加大从“源头”维权的力度，引导职工依法、理性、有序的表达诉求，切实将职工的知情权、参与权和监督权落到实处。</w:t>
      </w:r>
    </w:p>
    <w:p>
      <w:pPr>
        <w:pStyle w:val="34"/>
        <w:rPr>
          <w:rFonts w:hint="eastAsia"/>
          <w:highlight w:val="none"/>
        </w:rPr>
      </w:pPr>
    </w:p>
    <w:tbl>
      <w:tblPr>
        <w:tblStyle w:val="19"/>
        <w:tblW w:w="0" w:type="auto"/>
        <w:tblInd w:w="0" w:type="dxa"/>
        <w:tblLayout w:type="fixed"/>
        <w:tblCellMar>
          <w:top w:w="0" w:type="dxa"/>
          <w:left w:w="108" w:type="dxa"/>
          <w:bottom w:w="0" w:type="dxa"/>
          <w:right w:w="108" w:type="dxa"/>
        </w:tblCellMar>
      </w:tblPr>
      <w:tblGrid>
        <w:gridCol w:w="4367"/>
        <w:gridCol w:w="4161"/>
      </w:tblGrid>
      <w:tr>
        <w:tblPrEx>
          <w:tblCellMar>
            <w:top w:w="0" w:type="dxa"/>
            <w:left w:w="108" w:type="dxa"/>
            <w:bottom w:w="0" w:type="dxa"/>
            <w:right w:w="108" w:type="dxa"/>
          </w:tblCellMar>
        </w:tblPrEx>
        <w:tc>
          <w:tcPr>
            <w:tcW w:w="4367" w:type="dxa"/>
            <w:shd w:val="clear" w:color="auto" w:fill="auto"/>
          </w:tcPr>
          <w:p>
            <w:pPr>
              <w:pStyle w:val="39"/>
              <w:rPr>
                <w:highlight w:val="none"/>
              </w:rPr>
            </w:pPr>
            <w:r>
              <w:rPr>
                <w:highlight w:val="none"/>
              </w:rPr>
              <w:drawing>
                <wp:inline distT="0" distB="0" distL="0" distR="0">
                  <wp:extent cx="2520315" cy="1800225"/>
                  <wp:effectExtent l="0" t="0" r="13335" b="9525"/>
                  <wp:docPr id="62" name="图片 20"/>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520315" cy="1800225"/>
                          </a:xfrm>
                          <a:prstGeom prst="rect">
                            <a:avLst/>
                          </a:prstGeom>
                          <a:noFill/>
                          <a:ln>
                            <a:noFill/>
                          </a:ln>
                        </pic:spPr>
                      </pic:pic>
                    </a:graphicData>
                  </a:graphic>
                </wp:inline>
              </w:drawing>
            </w:r>
          </w:p>
          <w:p>
            <w:pPr>
              <w:pStyle w:val="39"/>
              <w:rPr>
                <w:rFonts w:hint="default" w:eastAsia="宋体"/>
                <w:highlight w:val="none"/>
                <w:lang w:val="en-US" w:eastAsia="zh-CN"/>
              </w:rPr>
            </w:pPr>
            <w:r>
              <w:rPr>
                <w:rFonts w:hint="eastAsia" w:ascii="仿宋" w:hAnsi="仿宋" w:eastAsia="仿宋" w:cs="仿宋"/>
                <w:b/>
                <w:bCs/>
                <w:highlight w:val="none"/>
                <w:lang w:eastAsia="zh-CN"/>
              </w:rPr>
              <w:t>图</w:t>
            </w:r>
            <w:r>
              <w:rPr>
                <w:rFonts w:hint="eastAsia" w:ascii="仿宋" w:hAnsi="仿宋" w:eastAsia="仿宋" w:cs="仿宋"/>
                <w:b/>
                <w:bCs/>
                <w:highlight w:val="none"/>
                <w:lang w:val="en-US" w:eastAsia="zh-CN"/>
              </w:rPr>
              <w:t>26 环保发电公司召开一届八次职代会暨一届七次工代会</w:t>
            </w:r>
          </w:p>
        </w:tc>
        <w:tc>
          <w:tcPr>
            <w:tcW w:w="4161" w:type="dxa"/>
            <w:shd w:val="clear" w:color="auto" w:fill="auto"/>
          </w:tcPr>
          <w:p>
            <w:pPr>
              <w:pStyle w:val="39"/>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drawing>
                <wp:inline distT="0" distB="0" distL="114300" distR="114300">
                  <wp:extent cx="2520315" cy="1800225"/>
                  <wp:effectExtent l="0" t="0" r="13335" b="9525"/>
                  <wp:docPr id="63" name="图片 63" descr="33333"/>
                  <wp:cNvGraphicFramePr/>
                  <a:graphic xmlns:a="http://schemas.openxmlformats.org/drawingml/2006/main">
                    <a:graphicData uri="http://schemas.openxmlformats.org/drawingml/2006/picture">
                      <pic:pic xmlns:pic="http://schemas.openxmlformats.org/drawingml/2006/picture">
                        <pic:nvPicPr>
                          <pic:cNvPr id="63" name="图片 63" descr="33333"/>
                          <pic:cNvPicPr/>
                        </pic:nvPicPr>
                        <pic:blipFill>
                          <a:blip r:embed="rId33"/>
                          <a:stretch>
                            <a:fillRect/>
                          </a:stretch>
                        </pic:blipFill>
                        <pic:spPr>
                          <a:xfrm>
                            <a:off x="0" y="0"/>
                            <a:ext cx="2520315" cy="1800225"/>
                          </a:xfrm>
                          <a:prstGeom prst="rect">
                            <a:avLst/>
                          </a:prstGeom>
                        </pic:spPr>
                      </pic:pic>
                    </a:graphicData>
                  </a:graphic>
                </wp:inline>
              </w:drawing>
            </w:r>
          </w:p>
          <w:p>
            <w:pPr>
              <w:pStyle w:val="39"/>
              <w:rPr>
                <w:rFonts w:hint="eastAsia" w:ascii="仿宋" w:hAnsi="仿宋" w:eastAsia="仿宋" w:cs="仿宋"/>
                <w:b w:val="0"/>
                <w:bCs/>
                <w:sz w:val="28"/>
                <w:szCs w:val="28"/>
                <w:highlight w:val="none"/>
                <w:lang w:val="en-US" w:eastAsia="zh-CN"/>
              </w:rPr>
            </w:pPr>
            <w:r>
              <w:rPr>
                <w:rFonts w:hint="eastAsia" w:ascii="仿宋" w:hAnsi="仿宋" w:eastAsia="仿宋" w:cs="仿宋"/>
                <w:b/>
                <w:bCs/>
                <w:highlight w:val="none"/>
                <w:lang w:val="en-US" w:eastAsia="zh-CN"/>
              </w:rPr>
              <w:t>图27 环保发电公司召开中央脱贫攻坚专项巡视“回头看”整改暨深化“三个以案”警示教育专题民主生活会征求意见座谈会</w:t>
            </w:r>
          </w:p>
        </w:tc>
      </w:tr>
    </w:tbl>
    <w:p>
      <w:pPr>
        <w:pStyle w:val="35"/>
        <w:rPr>
          <w:highlight w:val="none"/>
        </w:rPr>
      </w:pPr>
    </w:p>
    <w:p>
      <w:pPr>
        <w:pStyle w:val="35"/>
        <w:ind w:firstLine="560" w:firstLineChars="200"/>
        <w:jc w:val="left"/>
        <w:rPr>
          <w:rFonts w:hint="eastAsia" w:ascii="仿宋" w:hAnsi="仿宋" w:eastAsia="仿宋" w:cs="仿宋"/>
          <w:b w:val="0"/>
          <w:bCs/>
          <w:sz w:val="28"/>
          <w:szCs w:val="28"/>
          <w:highlight w:val="none"/>
        </w:rPr>
      </w:pPr>
      <w:r>
        <w:rPr>
          <w:rFonts w:hint="eastAsia" w:ascii="仿宋" w:hAnsi="仿宋" w:cs="仿宋"/>
          <w:b w:val="0"/>
          <w:bCs/>
          <w:sz w:val="28"/>
          <w:szCs w:val="28"/>
          <w:highlight w:val="none"/>
          <w:lang w:val="en-US" w:eastAsia="zh-CN"/>
        </w:rPr>
        <w:t>2020年</w:t>
      </w:r>
      <w:r>
        <w:rPr>
          <w:rFonts w:hint="eastAsia" w:ascii="仿宋" w:hAnsi="仿宋" w:eastAsia="仿宋" w:cs="仿宋"/>
          <w:b w:val="0"/>
          <w:bCs/>
          <w:sz w:val="28"/>
          <w:szCs w:val="28"/>
          <w:highlight w:val="none"/>
        </w:rPr>
        <w:t>6月2日下午，环保发电公司召开</w:t>
      </w:r>
      <w:r>
        <w:rPr>
          <w:rFonts w:hint="eastAsia" w:ascii="仿宋" w:hAnsi="仿宋" w:cs="仿宋"/>
          <w:b w:val="0"/>
          <w:bCs/>
          <w:sz w:val="28"/>
          <w:szCs w:val="28"/>
          <w:highlight w:val="none"/>
          <w:lang w:eastAsia="zh-CN"/>
        </w:rPr>
        <w:t>了</w:t>
      </w:r>
      <w:r>
        <w:rPr>
          <w:rFonts w:hint="eastAsia" w:ascii="仿宋" w:hAnsi="仿宋" w:eastAsia="仿宋" w:cs="仿宋"/>
          <w:b w:val="0"/>
          <w:bCs/>
          <w:sz w:val="28"/>
          <w:szCs w:val="28"/>
          <w:highlight w:val="none"/>
        </w:rPr>
        <w:t>中央脱贫攻坚专项巡视“回头看”整改暨深化“三个以案”警示教育专题民主生活会征求意见座谈会，广泛听取来自各子公司先进人物、普通党员、职工群众、党代会代表、机关职能部门代表意见建议</w:t>
      </w:r>
      <w:r>
        <w:rPr>
          <w:rFonts w:hint="eastAsia" w:ascii="仿宋" w:hAnsi="仿宋" w:cs="仿宋"/>
          <w:b w:val="0"/>
          <w:bCs/>
          <w:sz w:val="28"/>
          <w:szCs w:val="28"/>
          <w:highlight w:val="none"/>
          <w:lang w:eastAsia="zh-CN"/>
        </w:rPr>
        <w:t>。会上</w:t>
      </w:r>
      <w:r>
        <w:rPr>
          <w:rFonts w:hint="eastAsia" w:ascii="仿宋" w:hAnsi="仿宋" w:eastAsia="仿宋" w:cs="仿宋"/>
          <w:b w:val="0"/>
          <w:bCs/>
          <w:sz w:val="28"/>
          <w:szCs w:val="28"/>
          <w:highlight w:val="none"/>
        </w:rPr>
        <w:t>深化“三个以案”警示教育为抓手，持之以恒学习贯彻习近平新时代中国特色社会主义思想，在真学真信中坚定理想信念，在学思践悟中牢记初心使命。深入检视整改突出问题，围绕“四对照、四检视”，认真落实集团公司招标采购专项巡察反馈意见，严格整改落实，确保在六月底前见底清零。咬定全面夺取疫情防控与经营发展“双胜利”根本任务。</w:t>
      </w:r>
      <w:r>
        <w:rPr>
          <w:rFonts w:hint="eastAsia" w:ascii="仿宋" w:hAnsi="仿宋" w:cs="仿宋"/>
          <w:b w:val="0"/>
          <w:bCs/>
          <w:sz w:val="28"/>
          <w:szCs w:val="28"/>
          <w:highlight w:val="none"/>
          <w:lang w:eastAsia="zh-CN"/>
        </w:rPr>
        <w:t>环保发电</w:t>
      </w:r>
      <w:r>
        <w:rPr>
          <w:rFonts w:hint="eastAsia" w:ascii="仿宋" w:hAnsi="仿宋" w:eastAsia="仿宋" w:cs="仿宋"/>
          <w:b w:val="0"/>
          <w:bCs/>
          <w:sz w:val="28"/>
          <w:szCs w:val="28"/>
          <w:highlight w:val="none"/>
        </w:rPr>
        <w:t>公司各级党组织按照集团公司党的建设与生产经营融合年活动要求，结合本单位实际，细化工作举措，充分发挥党的优势作用，全力以赴推进公司年度20项重点工作落地见效。</w:t>
      </w:r>
    </w:p>
    <w:p>
      <w:pPr>
        <w:pStyle w:val="35"/>
        <w:ind w:firstLine="560" w:firstLineChars="200"/>
        <w:jc w:val="left"/>
        <w:rPr>
          <w:rFonts w:hint="eastAsia" w:ascii="仿宋" w:hAnsi="仿宋" w:eastAsia="仿宋" w:cs="仿宋"/>
          <w:b w:val="0"/>
          <w:bCs/>
          <w:sz w:val="28"/>
          <w:szCs w:val="28"/>
          <w:highlight w:val="none"/>
        </w:rPr>
      </w:pPr>
    </w:p>
    <w:p>
      <w:pPr>
        <w:pStyle w:val="35"/>
        <w:ind w:firstLine="560" w:firstLineChars="200"/>
        <w:jc w:val="left"/>
        <w:rPr>
          <w:rFonts w:hint="eastAsia" w:ascii="仿宋" w:hAnsi="仿宋" w:eastAsia="仿宋" w:cs="仿宋"/>
          <w:b w:val="0"/>
          <w:bCs/>
          <w:sz w:val="28"/>
          <w:szCs w:val="28"/>
          <w:highlight w:val="none"/>
        </w:rPr>
      </w:pPr>
    </w:p>
    <w:p>
      <w:pPr>
        <w:pStyle w:val="35"/>
        <w:ind w:firstLine="560" w:firstLineChars="200"/>
        <w:jc w:val="left"/>
        <w:rPr>
          <w:rFonts w:hint="eastAsia" w:ascii="仿宋" w:hAnsi="仿宋" w:eastAsia="仿宋" w:cs="仿宋"/>
          <w:b w:val="0"/>
          <w:bCs/>
          <w:sz w:val="28"/>
          <w:szCs w:val="28"/>
          <w:highlight w:val="none"/>
        </w:rPr>
      </w:pPr>
    </w:p>
    <w:p>
      <w:pPr>
        <w:pStyle w:val="35"/>
        <w:ind w:firstLine="560" w:firstLineChars="200"/>
        <w:jc w:val="left"/>
        <w:rPr>
          <w:rFonts w:hint="eastAsia" w:ascii="仿宋" w:hAnsi="仿宋" w:eastAsia="仿宋" w:cs="仿宋"/>
          <w:b w:val="0"/>
          <w:bCs/>
          <w:sz w:val="28"/>
          <w:szCs w:val="28"/>
          <w:highlight w:val="none"/>
        </w:rPr>
      </w:pPr>
    </w:p>
    <w:p>
      <w:pPr>
        <w:pStyle w:val="35"/>
        <w:ind w:firstLine="560" w:firstLineChars="200"/>
        <w:jc w:val="left"/>
        <w:rPr>
          <w:rFonts w:hint="eastAsia" w:ascii="仿宋" w:hAnsi="仿宋" w:eastAsia="仿宋" w:cs="仿宋"/>
          <w:b w:val="0"/>
          <w:bCs/>
          <w:sz w:val="28"/>
          <w:szCs w:val="28"/>
          <w:highlight w:val="none"/>
        </w:rPr>
      </w:pPr>
    </w:p>
    <w:p>
      <w:pPr>
        <w:pStyle w:val="35"/>
        <w:ind w:firstLine="560" w:firstLineChars="200"/>
        <w:jc w:val="left"/>
        <w:rPr>
          <w:rFonts w:hint="eastAsia" w:ascii="仿宋" w:hAnsi="仿宋" w:eastAsia="仿宋" w:cs="仿宋"/>
          <w:b w:val="0"/>
          <w:bCs/>
          <w:sz w:val="28"/>
          <w:szCs w:val="28"/>
          <w:highlight w:val="none"/>
        </w:rPr>
      </w:pPr>
    </w:p>
    <w:p>
      <w:pPr>
        <w:pStyle w:val="35"/>
        <w:ind w:firstLine="560" w:firstLineChars="200"/>
        <w:jc w:val="left"/>
        <w:rPr>
          <w:rFonts w:hint="eastAsia" w:ascii="仿宋" w:hAnsi="仿宋" w:eastAsia="仿宋" w:cs="仿宋"/>
          <w:b w:val="0"/>
          <w:bCs/>
          <w:sz w:val="28"/>
          <w:szCs w:val="28"/>
          <w:highlight w:val="none"/>
        </w:rPr>
      </w:pPr>
    </w:p>
    <w:p>
      <w:pPr>
        <w:pStyle w:val="35"/>
        <w:jc w:val="left"/>
        <w:rPr>
          <w:rFonts w:hint="eastAsia" w:ascii="仿宋" w:hAnsi="仿宋" w:eastAsia="仿宋" w:cs="仿宋"/>
          <w:b w:val="0"/>
          <w:bCs/>
          <w:sz w:val="28"/>
          <w:szCs w:val="28"/>
          <w:highlight w:val="none"/>
        </w:rPr>
      </w:pPr>
    </w:p>
    <w:p>
      <w:pPr>
        <w:pStyle w:val="4"/>
        <w:spacing w:before="240" w:after="240"/>
        <w:rPr>
          <w:rFonts w:ascii="宋体" w:hAnsi="宋体"/>
          <w:highlight w:val="none"/>
        </w:rPr>
      </w:pPr>
      <w:bookmarkStart w:id="43" w:name="_Toc32933561"/>
      <w:bookmarkStart w:id="44" w:name="_Toc32950339"/>
      <w:bookmarkStart w:id="45" w:name="_Toc33176295"/>
      <w:r>
        <w:rPr>
          <w:rFonts w:hint="eastAsia" w:ascii="宋体" w:hAnsi="宋体"/>
          <w:highlight w:val="none"/>
        </w:rPr>
        <w:t>坚持以人为本关爱员工，增强企业凝聚力</w:t>
      </w:r>
      <w:bookmarkEnd w:id="43"/>
      <w:bookmarkEnd w:id="44"/>
      <w:bookmarkEnd w:id="45"/>
    </w:p>
    <w:p>
      <w:pPr>
        <w:pStyle w:val="34"/>
        <w:rPr>
          <w:highlight w:val="none"/>
        </w:rPr>
      </w:pPr>
      <w:r>
        <w:rPr>
          <w:rFonts w:hint="eastAsia"/>
          <w:highlight w:val="none"/>
        </w:rPr>
        <w:t>环保发电公司坚持以人为本，始终把关爱职工作为维护职工权益的重要形式，切实关心职工生活。每年开展“冬送温暖、夏送清凉”活动，</w:t>
      </w:r>
      <w:r>
        <w:rPr>
          <w:rFonts w:hint="eastAsia"/>
          <w:highlight w:val="none"/>
          <w:shd w:val="clear" w:color="auto" w:fill="FFFFFF"/>
        </w:rPr>
        <w:t>组织职工体检活动，针对各年龄对象和性别，尤其关注对女职工，制定了不同的体检方案，为职工健康生活、安心工作筑起了一道保护墙，进一步提高了职工的向心力和归属感。同时</w:t>
      </w:r>
      <w:r>
        <w:rPr>
          <w:rFonts w:hint="eastAsia"/>
          <w:highlight w:val="none"/>
        </w:rPr>
        <w:t>关心弱势群体，推行职工大病救助制度，实现精准帮扶。</w:t>
      </w:r>
    </w:p>
    <w:p>
      <w:pPr>
        <w:pStyle w:val="34"/>
        <w:rPr>
          <w:highlight w:val="none"/>
        </w:rPr>
      </w:pPr>
      <w:r>
        <w:rPr>
          <w:highlight w:val="none"/>
        </w:rPr>
        <w:t>为庆祝“三八”国际妇女节，淮南公司开展了“三八”节慰问疫情防控一线女职工活动。</w:t>
      </w:r>
      <w:r>
        <w:rPr>
          <w:rFonts w:hint="eastAsia"/>
          <w:highlight w:val="none"/>
          <w:lang w:eastAsia="zh-CN"/>
        </w:rPr>
        <w:t>淮南</w:t>
      </w:r>
      <w:r>
        <w:rPr>
          <w:rFonts w:hint="default"/>
          <w:highlight w:val="none"/>
        </w:rPr>
        <w:t>公司党支部联合工会慰问了疫情当前坚守在生产一线的女职工，给她们送去了慰问品和节日的祝福，询问他们在疫情期间的工作和生活情况，对全体女职工在公司的疫情防控工作中彰显出的勇于担当的精神给予充分的肯定，并叮嘱她们在做好本职工作的同时，注意做好个人防护。公司的关心和关怀让全体女职工倍感温暖，纷纷表示要把领导干部给予的肯定转化为努力工作的动力，坚守岗位，共克时艰，继续积极投身当前疫情防控和复工复产工作中，为打赢疫情防控阻击战发挥女职工“半边天”作用。面对疫情，淮南公司工会将继续把关心关爱职工作为出发点和落脚点，组织广大职工群众共渡难关，迎接疫情防控阻击战的最终胜利</w:t>
      </w:r>
    </w:p>
    <w:p>
      <w:pPr>
        <w:pStyle w:val="34"/>
        <w:rPr>
          <w:highlight w:val="none"/>
        </w:rPr>
      </w:pPr>
      <w:r>
        <w:rPr>
          <w:rFonts w:hint="eastAsia"/>
          <w:highlight w:val="none"/>
        </w:rPr>
        <w:t>安庆公司关心员工生活，提高企业凝聚力和战斗力，以人为本，积极开展丰富多彩的文体活动。2</w:t>
      </w:r>
      <w:r>
        <w:rPr>
          <w:highlight w:val="none"/>
        </w:rPr>
        <w:t>0</w:t>
      </w:r>
      <w:r>
        <w:rPr>
          <w:rFonts w:hint="eastAsia"/>
          <w:highlight w:val="none"/>
          <w:lang w:val="en-US" w:eastAsia="zh-CN"/>
        </w:rPr>
        <w:t>20</w:t>
      </w:r>
      <w:r>
        <w:rPr>
          <w:rFonts w:hint="eastAsia"/>
          <w:highlight w:val="none"/>
        </w:rPr>
        <w:t>年安庆公司工会先后开展了“送清凉送一线”、“春节”、“中秋节”、“三八妇女节”等节日慰问，开展员工生日慰问113人次，结婚慰问2人次，生病员工及家属4人次，并还精心组织安排了员工健康体检、生产人员的职业病健康体检和健康知识讲座，让员工全面了解自身的健康状况，对保障员工身心健康起到了促进作用。2020年，公司工会、团支部积极组织开展了“民法典”培训、“青年合伙人”创建、志愿者服务、劳动竞赛、合理化建议、爱心助农、掼蛋比赛、羽毛球比赛等活动，通过健康向上的企业文化活动，营造了浓厚的和谐氛围。</w:t>
      </w:r>
    </w:p>
    <w:tbl>
      <w:tblPr>
        <w:tblStyle w:val="19"/>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shd w:val="clear" w:color="auto" w:fill="auto"/>
          </w:tcPr>
          <w:p>
            <w:pPr>
              <w:pStyle w:val="39"/>
              <w:rPr>
                <w:rFonts w:hint="eastAsia" w:eastAsia="宋体"/>
                <w:highlight w:val="none"/>
                <w:lang w:eastAsia="zh-CN"/>
              </w:rPr>
            </w:pPr>
            <w:r>
              <w:rPr>
                <w:rFonts w:hint="eastAsia" w:eastAsia="宋体"/>
                <w:highlight w:val="none"/>
                <w:lang w:eastAsia="zh-CN"/>
              </w:rPr>
              <w:drawing>
                <wp:inline distT="0" distB="0" distL="114300" distR="114300">
                  <wp:extent cx="2520315" cy="1979930"/>
                  <wp:effectExtent l="0" t="0" r="13335" b="1270"/>
                  <wp:docPr id="65" name="图片 65" descr="444444"/>
                  <wp:cNvGraphicFramePr/>
                  <a:graphic xmlns:a="http://schemas.openxmlformats.org/drawingml/2006/main">
                    <a:graphicData uri="http://schemas.openxmlformats.org/drawingml/2006/picture">
                      <pic:pic xmlns:pic="http://schemas.openxmlformats.org/drawingml/2006/picture">
                        <pic:nvPicPr>
                          <pic:cNvPr id="65" name="图片 65" descr="444444"/>
                          <pic:cNvPicPr/>
                        </pic:nvPicPr>
                        <pic:blipFill>
                          <a:blip r:embed="rId34"/>
                          <a:stretch>
                            <a:fillRect/>
                          </a:stretch>
                        </pic:blipFill>
                        <pic:spPr>
                          <a:xfrm>
                            <a:off x="0" y="0"/>
                            <a:ext cx="2520315" cy="1979930"/>
                          </a:xfrm>
                          <a:prstGeom prst="rect">
                            <a:avLst/>
                          </a:prstGeom>
                        </pic:spPr>
                      </pic:pic>
                    </a:graphicData>
                  </a:graphic>
                </wp:inline>
              </w:drawing>
            </w:r>
          </w:p>
        </w:tc>
        <w:tc>
          <w:tcPr>
            <w:tcW w:w="4264" w:type="dxa"/>
            <w:shd w:val="clear" w:color="auto" w:fill="auto"/>
          </w:tcPr>
          <w:p>
            <w:pPr>
              <w:pStyle w:val="39"/>
              <w:rPr>
                <w:highlight w:val="none"/>
              </w:rPr>
            </w:pPr>
            <w:r>
              <w:rPr>
                <w:rFonts w:hint="eastAsia" w:asciiTheme="minorEastAsia" w:hAnsiTheme="minorEastAsia" w:eastAsiaTheme="minorEastAsia"/>
                <w:sz w:val="28"/>
                <w:szCs w:val="28"/>
                <w:highlight w:val="none"/>
              </w:rPr>
              <w:drawing>
                <wp:anchor distT="0" distB="0" distL="114300" distR="114300" simplePos="0" relativeHeight="251661312" behindDoc="0" locked="0" layoutInCell="1" allowOverlap="1">
                  <wp:simplePos x="0" y="0"/>
                  <wp:positionH relativeFrom="column">
                    <wp:posOffset>24765</wp:posOffset>
                  </wp:positionH>
                  <wp:positionV relativeFrom="paragraph">
                    <wp:posOffset>8255</wp:posOffset>
                  </wp:positionV>
                  <wp:extent cx="2520315" cy="1979930"/>
                  <wp:effectExtent l="0" t="0" r="13335" b="1270"/>
                  <wp:wrapNone/>
                  <wp:docPr id="66" name="图片 66" descr="2020.08.07安庆公司夏日送清凉"/>
                  <wp:cNvGraphicFramePr/>
                  <a:graphic xmlns:a="http://schemas.openxmlformats.org/drawingml/2006/main">
                    <a:graphicData uri="http://schemas.openxmlformats.org/drawingml/2006/picture">
                      <pic:pic xmlns:pic="http://schemas.openxmlformats.org/drawingml/2006/picture">
                        <pic:nvPicPr>
                          <pic:cNvPr id="66" name="图片 66" descr="2020.08.07安庆公司夏日送清凉"/>
                          <pic:cNvPicPr/>
                        </pic:nvPicPr>
                        <pic:blipFill>
                          <a:blip r:embed="rId35"/>
                          <a:stretch>
                            <a:fillRect/>
                          </a:stretch>
                        </pic:blipFill>
                        <pic:spPr>
                          <a:xfrm>
                            <a:off x="0" y="0"/>
                            <a:ext cx="2520315" cy="1979930"/>
                          </a:xfrm>
                          <a:prstGeom prst="rect">
                            <a:avLst/>
                          </a:prstGeom>
                        </pic:spPr>
                      </pic:pic>
                    </a:graphicData>
                  </a:graphic>
                </wp:anchor>
              </w:drawing>
            </w:r>
          </w:p>
        </w:tc>
      </w:tr>
      <w:tr>
        <w:tblPrEx>
          <w:tblCellMar>
            <w:top w:w="0" w:type="dxa"/>
            <w:left w:w="108" w:type="dxa"/>
            <w:bottom w:w="0" w:type="dxa"/>
            <w:right w:w="108" w:type="dxa"/>
          </w:tblCellMar>
        </w:tblPrEx>
        <w:tc>
          <w:tcPr>
            <w:tcW w:w="4264" w:type="dxa"/>
            <w:shd w:val="clear" w:color="auto" w:fill="auto"/>
          </w:tcPr>
          <w:p>
            <w:pPr>
              <w:pStyle w:val="35"/>
              <w:rPr>
                <w:highlight w:val="none"/>
              </w:rPr>
            </w:pPr>
            <w:r>
              <w:rPr>
                <w:rFonts w:hint="eastAsia"/>
                <w:highlight w:val="none"/>
              </w:rPr>
              <w:t>图</w:t>
            </w:r>
            <w:r>
              <w:rPr>
                <w:rFonts w:hint="eastAsia"/>
                <w:highlight w:val="none"/>
                <w:lang w:val="en-US" w:eastAsia="zh-CN"/>
              </w:rPr>
              <w:t>28</w:t>
            </w:r>
            <w:r>
              <w:rPr>
                <w:highlight w:val="none"/>
              </w:rPr>
              <w:t xml:space="preserve"> 淮南公司开展“三八”节慰问疫情防控一线女职工活动</w:t>
            </w:r>
          </w:p>
        </w:tc>
        <w:tc>
          <w:tcPr>
            <w:tcW w:w="4264" w:type="dxa"/>
            <w:shd w:val="clear" w:color="auto" w:fill="auto"/>
          </w:tcPr>
          <w:p>
            <w:pPr>
              <w:pStyle w:val="35"/>
              <w:rPr>
                <w:rFonts w:hint="eastAsia" w:eastAsia="仿宋"/>
                <w:highlight w:val="none"/>
                <w:lang w:eastAsia="zh-CN"/>
              </w:rPr>
            </w:pPr>
            <w:r>
              <w:rPr>
                <w:rFonts w:hint="eastAsia"/>
                <w:highlight w:val="none"/>
              </w:rPr>
              <w:t>图</w:t>
            </w:r>
            <w:r>
              <w:rPr>
                <w:rFonts w:hint="eastAsia"/>
                <w:highlight w:val="none"/>
                <w:lang w:val="en-US" w:eastAsia="zh-CN"/>
              </w:rPr>
              <w:t>29</w:t>
            </w:r>
            <w:r>
              <w:rPr>
                <w:highlight w:val="none"/>
              </w:rPr>
              <w:t xml:space="preserve"> </w:t>
            </w:r>
            <w:r>
              <w:rPr>
                <w:rFonts w:hint="eastAsia"/>
                <w:highlight w:val="none"/>
              </w:rPr>
              <w:t>安庆公司</w:t>
            </w:r>
            <w:r>
              <w:rPr>
                <w:rFonts w:hint="eastAsia"/>
                <w:highlight w:val="none"/>
                <w:lang w:eastAsia="zh-CN"/>
              </w:rPr>
              <w:t>一线送清凉</w:t>
            </w:r>
          </w:p>
        </w:tc>
      </w:tr>
      <w:tr>
        <w:tblPrEx>
          <w:tblCellMar>
            <w:top w:w="0" w:type="dxa"/>
            <w:left w:w="108" w:type="dxa"/>
            <w:bottom w:w="0" w:type="dxa"/>
            <w:right w:w="108" w:type="dxa"/>
          </w:tblCellMar>
        </w:tblPrEx>
        <w:tc>
          <w:tcPr>
            <w:tcW w:w="4264" w:type="dxa"/>
            <w:shd w:val="clear" w:color="auto" w:fill="auto"/>
          </w:tcPr>
          <w:p>
            <w:pPr>
              <w:pStyle w:val="35"/>
              <w:rPr>
                <w:rFonts w:hint="eastAsia"/>
                <w:highlight w:val="none"/>
              </w:rPr>
            </w:pPr>
            <w:r>
              <w:rPr>
                <w:rFonts w:hint="eastAsia" w:asciiTheme="minorEastAsia" w:hAnsiTheme="minorEastAsia" w:eastAsiaTheme="minorEastAsia"/>
                <w:sz w:val="28"/>
                <w:szCs w:val="28"/>
                <w:highlight w:val="none"/>
              </w:rPr>
              <w:drawing>
                <wp:anchor distT="0" distB="0" distL="114300" distR="114300" simplePos="0" relativeHeight="251662336" behindDoc="0" locked="0" layoutInCell="1" allowOverlap="1">
                  <wp:simplePos x="0" y="0"/>
                  <wp:positionH relativeFrom="column">
                    <wp:posOffset>39370</wp:posOffset>
                  </wp:positionH>
                  <wp:positionV relativeFrom="paragraph">
                    <wp:posOffset>20955</wp:posOffset>
                  </wp:positionV>
                  <wp:extent cx="2520315" cy="1979930"/>
                  <wp:effectExtent l="0" t="0" r="13335" b="1270"/>
                  <wp:wrapNone/>
                  <wp:docPr id="69" name="图片 69" descr="IMG_4839_看图王"/>
                  <wp:cNvGraphicFramePr/>
                  <a:graphic xmlns:a="http://schemas.openxmlformats.org/drawingml/2006/main">
                    <a:graphicData uri="http://schemas.openxmlformats.org/drawingml/2006/picture">
                      <pic:pic xmlns:pic="http://schemas.openxmlformats.org/drawingml/2006/picture">
                        <pic:nvPicPr>
                          <pic:cNvPr id="69" name="图片 69" descr="IMG_4839_看图王"/>
                          <pic:cNvPicPr/>
                        </pic:nvPicPr>
                        <pic:blipFill>
                          <a:blip r:embed="rId36"/>
                          <a:stretch>
                            <a:fillRect/>
                          </a:stretch>
                        </pic:blipFill>
                        <pic:spPr>
                          <a:xfrm>
                            <a:off x="0" y="0"/>
                            <a:ext cx="2520315" cy="1979930"/>
                          </a:xfrm>
                          <a:prstGeom prst="rect">
                            <a:avLst/>
                          </a:prstGeom>
                        </pic:spPr>
                      </pic:pic>
                    </a:graphicData>
                  </a:graphic>
                </wp:anchor>
              </w:drawing>
            </w: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default" w:eastAsia="仿宋"/>
                <w:highlight w:val="none"/>
                <w:lang w:val="en-US" w:eastAsia="zh-CN"/>
              </w:rPr>
            </w:pPr>
            <w:r>
              <w:rPr>
                <w:rFonts w:hint="eastAsia"/>
                <w:highlight w:val="none"/>
                <w:lang w:eastAsia="zh-CN"/>
              </w:rPr>
              <w:t>图</w:t>
            </w:r>
            <w:r>
              <w:rPr>
                <w:rFonts w:hint="eastAsia"/>
                <w:highlight w:val="none"/>
                <w:lang w:val="en-US" w:eastAsia="zh-CN"/>
              </w:rPr>
              <w:t>30 安庆公司中秋慰问</w:t>
            </w:r>
          </w:p>
        </w:tc>
        <w:tc>
          <w:tcPr>
            <w:tcW w:w="4264" w:type="dxa"/>
            <w:shd w:val="clear" w:color="auto" w:fill="auto"/>
          </w:tcPr>
          <w:p>
            <w:pPr>
              <w:pStyle w:val="35"/>
              <w:rPr>
                <w:rFonts w:hint="eastAsia"/>
                <w:highlight w:val="none"/>
              </w:rPr>
            </w:pPr>
            <w:r>
              <w:rPr>
                <w:rFonts w:hint="eastAsia"/>
                <w:highlight w:val="none"/>
              </w:rPr>
              <w:drawing>
                <wp:anchor distT="0" distB="0" distL="114300" distR="114300" simplePos="0" relativeHeight="251664384" behindDoc="0" locked="0" layoutInCell="1" allowOverlap="1">
                  <wp:simplePos x="0" y="0"/>
                  <wp:positionH relativeFrom="column">
                    <wp:posOffset>13970</wp:posOffset>
                  </wp:positionH>
                  <wp:positionV relativeFrom="paragraph">
                    <wp:posOffset>8890</wp:posOffset>
                  </wp:positionV>
                  <wp:extent cx="2520315" cy="1979930"/>
                  <wp:effectExtent l="0" t="0" r="13335" b="1270"/>
                  <wp:wrapNone/>
                  <wp:docPr id="70" name="图片 70" descr="2020.12.02安庆公司“聚合力 促发展 健康行”户外活动"/>
                  <wp:cNvGraphicFramePr/>
                  <a:graphic xmlns:a="http://schemas.openxmlformats.org/drawingml/2006/main">
                    <a:graphicData uri="http://schemas.openxmlformats.org/drawingml/2006/picture">
                      <pic:pic xmlns:pic="http://schemas.openxmlformats.org/drawingml/2006/picture">
                        <pic:nvPicPr>
                          <pic:cNvPr id="70" name="图片 70" descr="2020.12.02安庆公司“聚合力 促发展 健康行”户外活动"/>
                          <pic:cNvPicPr/>
                        </pic:nvPicPr>
                        <pic:blipFill>
                          <a:blip r:embed="rId37"/>
                          <a:stretch>
                            <a:fillRect/>
                          </a:stretch>
                        </pic:blipFill>
                        <pic:spPr>
                          <a:xfrm>
                            <a:off x="0" y="0"/>
                            <a:ext cx="2520315" cy="1979930"/>
                          </a:xfrm>
                          <a:prstGeom prst="rect">
                            <a:avLst/>
                          </a:prstGeom>
                        </pic:spPr>
                      </pic:pic>
                    </a:graphicData>
                  </a:graphic>
                </wp:anchor>
              </w:drawing>
            </w: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jc w:val="right"/>
              <w:rPr>
                <w:rFonts w:hint="eastAsia"/>
                <w:highlight w:val="none"/>
              </w:rPr>
            </w:pPr>
          </w:p>
          <w:p>
            <w:pPr>
              <w:pStyle w:val="18"/>
              <w:rPr>
                <w:rFonts w:hint="default" w:eastAsia="宋体"/>
                <w:highlight w:val="none"/>
                <w:lang w:val="en-US" w:eastAsia="zh-CN"/>
              </w:rPr>
            </w:pPr>
            <w:r>
              <w:rPr>
                <w:rFonts w:hint="eastAsia" w:ascii="仿宋" w:hAnsi="仿宋" w:eastAsia="仿宋" w:cs="仿宋"/>
                <w:b/>
                <w:bCs/>
                <w:highlight w:val="none"/>
                <w:lang w:eastAsia="zh-CN"/>
              </w:rPr>
              <w:t>图</w:t>
            </w:r>
            <w:r>
              <w:rPr>
                <w:rFonts w:hint="eastAsia" w:ascii="仿宋" w:hAnsi="仿宋" w:eastAsia="仿宋" w:cs="仿宋"/>
                <w:b/>
                <w:bCs/>
                <w:highlight w:val="none"/>
                <w:lang w:val="en-US" w:eastAsia="zh-CN"/>
              </w:rPr>
              <w:t>31 安庆公司健康行户外活动</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sz w:val="28"/>
          <w:szCs w:val="28"/>
          <w:highlight w:val="none"/>
          <w:lang w:eastAsia="zh-CN"/>
        </w:rPr>
        <w:t>蚌埠</w:t>
      </w:r>
      <w:r>
        <w:rPr>
          <w:rFonts w:hint="eastAsia" w:ascii="仿宋" w:hAnsi="仿宋" w:eastAsia="仿宋" w:cs="仿宋"/>
          <w:sz w:val="28"/>
          <w:szCs w:val="28"/>
          <w:highlight w:val="none"/>
        </w:rPr>
        <w:t>公司为员工成长提供多方面的培养锻炼机会，以党建带动团建的形式，组织青年员工开展“</w:t>
      </w:r>
      <w:r>
        <w:rPr>
          <w:rFonts w:hint="eastAsia" w:ascii="仿宋" w:hAnsi="仿宋" w:eastAsia="仿宋" w:cs="仿宋"/>
          <w:sz w:val="28"/>
          <w:szCs w:val="28"/>
          <w:highlight w:val="none"/>
          <w:lang w:val="en-US" w:eastAsia="zh-CN"/>
        </w:rPr>
        <w:t>熔炼团队、挑战自我</w:t>
      </w:r>
      <w:r>
        <w:rPr>
          <w:rFonts w:hint="eastAsia" w:ascii="仿宋" w:hAnsi="仿宋" w:eastAsia="仿宋" w:cs="仿宋"/>
          <w:sz w:val="28"/>
          <w:szCs w:val="28"/>
          <w:highlight w:val="none"/>
        </w:rPr>
        <w:t>”为主题的综合素质培训活动。通过体验式课程交流互动，强化了团队组织纪律性，形成积极向上、团结互助的团队氛围。</w:t>
      </w:r>
      <w:r>
        <w:rPr>
          <w:rFonts w:hint="eastAsia" w:ascii="仿宋" w:hAnsi="仿宋" w:eastAsia="仿宋" w:cs="仿宋"/>
          <w:kern w:val="0"/>
          <w:sz w:val="28"/>
          <w:szCs w:val="28"/>
          <w:highlight w:val="none"/>
          <w:lang w:val="en-US" w:eastAsia="zh-CN"/>
        </w:rPr>
        <w:t>蚌埠公司积极配合参加由五河县组织部、县委宣传部、城管局举办的篮球比赛，本着“友谊第一、比赛第二”原则，让每一位参与比赛的员工都能在紧张的工作之余可以锻炼身体、舒缓身心，感受团队配合的力量。</w:t>
      </w:r>
    </w:p>
    <w:p>
      <w:pPr>
        <w:pStyle w:val="34"/>
        <w:rPr>
          <w:rFonts w:hint="eastAsia"/>
          <w:highlight w:val="none"/>
        </w:rPr>
      </w:pPr>
    </w:p>
    <w:tbl>
      <w:tblPr>
        <w:tblStyle w:val="19"/>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shd w:val="clear" w:color="auto" w:fill="auto"/>
          </w:tcPr>
          <w:p>
            <w:pPr>
              <w:pStyle w:val="39"/>
              <w:rPr>
                <w:highlight w:val="none"/>
              </w:rPr>
            </w:pPr>
            <w:r>
              <w:rPr>
                <w:rFonts w:hint="eastAsia" w:ascii="仿宋_GB2312" w:hAnsi="仿宋" w:eastAsia="仿宋_GB2312"/>
                <w:kern w:val="0"/>
                <w:sz w:val="32"/>
                <w:szCs w:val="32"/>
                <w:highlight w:val="none"/>
                <w:lang w:eastAsia="zh-CN"/>
              </w:rPr>
              <w:drawing>
                <wp:anchor distT="0" distB="0" distL="114300" distR="114300" simplePos="0" relativeHeight="251665408" behindDoc="1" locked="0" layoutInCell="1" allowOverlap="1">
                  <wp:simplePos x="0" y="0"/>
                  <wp:positionH relativeFrom="column">
                    <wp:posOffset>43815</wp:posOffset>
                  </wp:positionH>
                  <wp:positionV relativeFrom="paragraph">
                    <wp:posOffset>67310</wp:posOffset>
                  </wp:positionV>
                  <wp:extent cx="2520315" cy="1979930"/>
                  <wp:effectExtent l="0" t="0" r="0" b="1270"/>
                  <wp:wrapTight wrapText="bothSides">
                    <wp:wrapPolygon>
                      <wp:start x="0" y="0"/>
                      <wp:lineTo x="0" y="21406"/>
                      <wp:lineTo x="21388" y="21406"/>
                      <wp:lineTo x="21388" y="0"/>
                      <wp:lineTo x="0" y="0"/>
                    </wp:wrapPolygon>
                  </wp:wrapTight>
                  <wp:docPr id="73" name="图片 73" descr="IMG_20200828_123102"/>
                  <wp:cNvGraphicFramePr/>
                  <a:graphic xmlns:a="http://schemas.openxmlformats.org/drawingml/2006/main">
                    <a:graphicData uri="http://schemas.openxmlformats.org/drawingml/2006/picture">
                      <pic:pic xmlns:pic="http://schemas.openxmlformats.org/drawingml/2006/picture">
                        <pic:nvPicPr>
                          <pic:cNvPr id="73" name="图片 73" descr="IMG_20200828_123102"/>
                          <pic:cNvPicPr/>
                        </pic:nvPicPr>
                        <pic:blipFill>
                          <a:blip r:embed="rId38"/>
                          <a:stretch>
                            <a:fillRect/>
                          </a:stretch>
                        </pic:blipFill>
                        <pic:spPr>
                          <a:xfrm>
                            <a:off x="0" y="0"/>
                            <a:ext cx="2520315" cy="1979930"/>
                          </a:xfrm>
                          <a:prstGeom prst="rect">
                            <a:avLst/>
                          </a:prstGeom>
                        </pic:spPr>
                      </pic:pic>
                    </a:graphicData>
                  </a:graphic>
                </wp:anchor>
              </w:drawing>
            </w:r>
          </w:p>
        </w:tc>
        <w:tc>
          <w:tcPr>
            <w:tcW w:w="4264" w:type="dxa"/>
            <w:shd w:val="clear" w:color="auto" w:fill="auto"/>
          </w:tcPr>
          <w:p>
            <w:pPr>
              <w:pStyle w:val="39"/>
              <w:rPr>
                <w:highlight w:val="none"/>
              </w:rPr>
            </w:pPr>
            <w:r>
              <w:rPr>
                <w:rFonts w:hint="eastAsia" w:ascii="仿宋_GB2312" w:hAnsi="仿宋" w:eastAsia="仿宋_GB2312"/>
                <w:kern w:val="0"/>
                <w:sz w:val="32"/>
                <w:szCs w:val="32"/>
                <w:highlight w:val="none"/>
                <w:lang w:eastAsia="zh-CN"/>
              </w:rPr>
              <w:drawing>
                <wp:anchor distT="0" distB="0" distL="114300" distR="114300" simplePos="0" relativeHeight="251666432" behindDoc="1" locked="0" layoutInCell="1" allowOverlap="1">
                  <wp:simplePos x="0" y="0"/>
                  <wp:positionH relativeFrom="column">
                    <wp:posOffset>27940</wp:posOffset>
                  </wp:positionH>
                  <wp:positionV relativeFrom="paragraph">
                    <wp:posOffset>66040</wp:posOffset>
                  </wp:positionV>
                  <wp:extent cx="2520315" cy="1979930"/>
                  <wp:effectExtent l="0" t="0" r="0" b="1270"/>
                  <wp:wrapTight wrapText="bothSides">
                    <wp:wrapPolygon>
                      <wp:start x="0" y="0"/>
                      <wp:lineTo x="0" y="21406"/>
                      <wp:lineTo x="21388" y="21406"/>
                      <wp:lineTo x="21388" y="0"/>
                      <wp:lineTo x="0" y="0"/>
                    </wp:wrapPolygon>
                  </wp:wrapTight>
                  <wp:docPr id="74" name="图片 74" descr="蚌埠公司开展2020年素质拓展活动"/>
                  <wp:cNvGraphicFramePr/>
                  <a:graphic xmlns:a="http://schemas.openxmlformats.org/drawingml/2006/main">
                    <a:graphicData uri="http://schemas.openxmlformats.org/drawingml/2006/picture">
                      <pic:pic xmlns:pic="http://schemas.openxmlformats.org/drawingml/2006/picture">
                        <pic:nvPicPr>
                          <pic:cNvPr id="74" name="图片 74" descr="蚌埠公司开展2020年素质拓展活动"/>
                          <pic:cNvPicPr/>
                        </pic:nvPicPr>
                        <pic:blipFill>
                          <a:blip r:embed="rId39"/>
                          <a:stretch>
                            <a:fillRect/>
                          </a:stretch>
                        </pic:blipFill>
                        <pic:spPr>
                          <a:xfrm>
                            <a:off x="0" y="0"/>
                            <a:ext cx="2520315" cy="1979930"/>
                          </a:xfrm>
                          <a:prstGeom prst="rect">
                            <a:avLst/>
                          </a:prstGeom>
                        </pic:spPr>
                      </pic:pic>
                    </a:graphicData>
                  </a:graphic>
                </wp:anchor>
              </w:drawing>
            </w:r>
          </w:p>
        </w:tc>
      </w:tr>
      <w:tr>
        <w:tblPrEx>
          <w:tblCellMar>
            <w:top w:w="0" w:type="dxa"/>
            <w:left w:w="108" w:type="dxa"/>
            <w:bottom w:w="0" w:type="dxa"/>
            <w:right w:w="108" w:type="dxa"/>
          </w:tblCellMar>
        </w:tblPrEx>
        <w:tc>
          <w:tcPr>
            <w:tcW w:w="4264" w:type="dxa"/>
            <w:shd w:val="clear" w:color="auto" w:fill="auto"/>
          </w:tcPr>
          <w:p>
            <w:pPr>
              <w:pStyle w:val="35"/>
              <w:rPr>
                <w:rFonts w:hint="default" w:eastAsia="仿宋"/>
                <w:highlight w:val="none"/>
                <w:lang w:val="en-US" w:eastAsia="zh-CN"/>
              </w:rPr>
            </w:pPr>
            <w:r>
              <w:rPr>
                <w:rFonts w:hint="eastAsia"/>
                <w:highlight w:val="none"/>
              </w:rPr>
              <w:t>图</w:t>
            </w:r>
            <w:r>
              <w:rPr>
                <w:rFonts w:hint="eastAsia"/>
                <w:highlight w:val="none"/>
                <w:lang w:val="en-US" w:eastAsia="zh-CN"/>
              </w:rPr>
              <w:t>32</w:t>
            </w:r>
            <w:r>
              <w:rPr>
                <w:highlight w:val="none"/>
              </w:rPr>
              <w:t xml:space="preserve"> </w:t>
            </w:r>
            <w:r>
              <w:rPr>
                <w:rFonts w:hint="eastAsia"/>
                <w:highlight w:val="none"/>
                <w:lang w:eastAsia="zh-CN"/>
              </w:rPr>
              <w:t>蚌埠</w:t>
            </w:r>
            <w:r>
              <w:rPr>
                <w:rFonts w:hint="eastAsia"/>
                <w:highlight w:val="none"/>
              </w:rPr>
              <w:t>公司开展</w:t>
            </w:r>
            <w:r>
              <w:rPr>
                <w:rFonts w:hint="eastAsia"/>
                <w:highlight w:val="none"/>
                <w:lang w:eastAsia="zh-CN"/>
              </w:rPr>
              <w:t>员工素质拓展</w:t>
            </w:r>
            <w:r>
              <w:rPr>
                <w:rFonts w:hint="eastAsia"/>
                <w:highlight w:val="none"/>
                <w:lang w:val="en-US" w:eastAsia="zh-CN"/>
              </w:rPr>
              <w:t>-1</w:t>
            </w:r>
          </w:p>
        </w:tc>
        <w:tc>
          <w:tcPr>
            <w:tcW w:w="4264" w:type="dxa"/>
            <w:shd w:val="clear" w:color="auto" w:fill="auto"/>
          </w:tcPr>
          <w:p>
            <w:pPr>
              <w:pStyle w:val="35"/>
              <w:rPr>
                <w:rFonts w:hint="default"/>
                <w:highlight w:val="none"/>
                <w:lang w:val="en-US"/>
              </w:rPr>
            </w:pPr>
            <w:r>
              <w:rPr>
                <w:rFonts w:hint="eastAsia"/>
                <w:highlight w:val="none"/>
              </w:rPr>
              <w:t>图</w:t>
            </w:r>
            <w:r>
              <w:rPr>
                <w:rFonts w:hint="eastAsia"/>
                <w:highlight w:val="none"/>
                <w:lang w:val="en-US" w:eastAsia="zh-CN"/>
              </w:rPr>
              <w:t xml:space="preserve">33 </w:t>
            </w:r>
            <w:r>
              <w:rPr>
                <w:rFonts w:hint="eastAsia"/>
                <w:highlight w:val="none"/>
                <w:lang w:eastAsia="zh-CN"/>
              </w:rPr>
              <w:t>蚌埠</w:t>
            </w:r>
            <w:r>
              <w:rPr>
                <w:rFonts w:hint="eastAsia"/>
                <w:highlight w:val="none"/>
              </w:rPr>
              <w:t>公司开展</w:t>
            </w:r>
            <w:r>
              <w:rPr>
                <w:rFonts w:hint="eastAsia"/>
                <w:highlight w:val="none"/>
                <w:lang w:eastAsia="zh-CN"/>
              </w:rPr>
              <w:t>员工素质拓展</w:t>
            </w:r>
            <w:r>
              <w:rPr>
                <w:rFonts w:hint="eastAsia"/>
                <w:highlight w:val="none"/>
                <w:lang w:val="en-US" w:eastAsia="zh-CN"/>
              </w:rPr>
              <w:t>-2</w:t>
            </w:r>
          </w:p>
        </w:tc>
      </w:tr>
      <w:tr>
        <w:tblPrEx>
          <w:tblCellMar>
            <w:top w:w="0" w:type="dxa"/>
            <w:left w:w="108" w:type="dxa"/>
            <w:bottom w:w="0" w:type="dxa"/>
            <w:right w:w="108" w:type="dxa"/>
          </w:tblCellMar>
        </w:tblPrEx>
        <w:tc>
          <w:tcPr>
            <w:tcW w:w="4264" w:type="dxa"/>
            <w:shd w:val="clear" w:color="auto" w:fill="auto"/>
          </w:tcPr>
          <w:p>
            <w:pPr>
              <w:pStyle w:val="35"/>
              <w:jc w:val="both"/>
              <w:rPr>
                <w:rFonts w:hint="eastAsia" w:eastAsia="仿宋"/>
                <w:highlight w:val="none"/>
                <w:lang w:eastAsia="zh-CN"/>
              </w:rPr>
            </w:pPr>
            <w:r>
              <w:rPr>
                <w:rFonts w:hint="default" w:ascii="仿宋_GB2312" w:hAnsi="仿宋" w:eastAsia="仿宋_GB2312"/>
                <w:kern w:val="0"/>
                <w:sz w:val="32"/>
                <w:szCs w:val="32"/>
                <w:highlight w:val="none"/>
                <w:lang w:val="en-US" w:eastAsia="zh-CN"/>
              </w:rPr>
              <w:drawing>
                <wp:anchor distT="0" distB="0" distL="114300" distR="114300" simplePos="0" relativeHeight="251667456" behindDoc="1" locked="0" layoutInCell="1" allowOverlap="1">
                  <wp:simplePos x="0" y="0"/>
                  <wp:positionH relativeFrom="column">
                    <wp:posOffset>107950</wp:posOffset>
                  </wp:positionH>
                  <wp:positionV relativeFrom="paragraph">
                    <wp:posOffset>3810</wp:posOffset>
                  </wp:positionV>
                  <wp:extent cx="2520315" cy="1979930"/>
                  <wp:effectExtent l="0" t="0" r="51435" b="1270"/>
                  <wp:wrapTight wrapText="bothSides">
                    <wp:wrapPolygon>
                      <wp:start x="0" y="0"/>
                      <wp:lineTo x="0" y="21406"/>
                      <wp:lineTo x="21388" y="21406"/>
                      <wp:lineTo x="21388" y="0"/>
                      <wp:lineTo x="0" y="0"/>
                    </wp:wrapPolygon>
                  </wp:wrapTight>
                  <wp:docPr id="75" name="图片 75" descr="IMG_2751"/>
                  <wp:cNvGraphicFramePr/>
                  <a:graphic xmlns:a="http://schemas.openxmlformats.org/drawingml/2006/main">
                    <a:graphicData uri="http://schemas.openxmlformats.org/drawingml/2006/picture">
                      <pic:pic xmlns:pic="http://schemas.openxmlformats.org/drawingml/2006/picture">
                        <pic:nvPicPr>
                          <pic:cNvPr id="75" name="图片 75" descr="IMG_2751"/>
                          <pic:cNvPicPr/>
                        </pic:nvPicPr>
                        <pic:blipFill>
                          <a:blip r:embed="rId40"/>
                          <a:stretch>
                            <a:fillRect/>
                          </a:stretch>
                        </pic:blipFill>
                        <pic:spPr>
                          <a:xfrm>
                            <a:off x="0" y="0"/>
                            <a:ext cx="2520315" cy="1979930"/>
                          </a:xfrm>
                          <a:prstGeom prst="rect">
                            <a:avLst/>
                          </a:prstGeom>
                        </pic:spPr>
                      </pic:pic>
                    </a:graphicData>
                  </a:graphic>
                </wp:anchor>
              </w:drawing>
            </w:r>
            <w:r>
              <w:rPr>
                <w:rFonts w:hint="eastAsia" w:ascii="仿宋_GB2312" w:hAnsi="仿宋" w:eastAsia="仿宋_GB2312"/>
                <w:kern w:val="0"/>
                <w:sz w:val="32"/>
                <w:szCs w:val="32"/>
                <w:highlight w:val="none"/>
                <w:lang w:val="en-US" w:eastAsia="zh-CN"/>
              </w:rPr>
              <w:t xml:space="preserve"> </w:t>
            </w:r>
            <w:r>
              <w:rPr>
                <w:rFonts w:hint="eastAsia"/>
                <w:highlight w:val="none"/>
              </w:rPr>
              <w:t>图</w:t>
            </w:r>
            <w:r>
              <w:rPr>
                <w:rFonts w:hint="eastAsia"/>
                <w:highlight w:val="none"/>
                <w:lang w:val="en-US" w:eastAsia="zh-CN"/>
              </w:rPr>
              <w:t>34</w:t>
            </w:r>
            <w:r>
              <w:rPr>
                <w:highlight w:val="none"/>
              </w:rPr>
              <w:t xml:space="preserve"> </w:t>
            </w:r>
            <w:r>
              <w:rPr>
                <w:rFonts w:hint="eastAsia"/>
                <w:highlight w:val="none"/>
                <w:lang w:eastAsia="zh-CN"/>
              </w:rPr>
              <w:t>蚌埠</w:t>
            </w:r>
            <w:r>
              <w:rPr>
                <w:rFonts w:hint="eastAsia"/>
                <w:highlight w:val="none"/>
              </w:rPr>
              <w:t>公司</w:t>
            </w:r>
            <w:r>
              <w:rPr>
                <w:rFonts w:hint="eastAsia"/>
                <w:highlight w:val="none"/>
                <w:lang w:eastAsia="zh-CN"/>
              </w:rPr>
              <w:t>积极参与五河县篮球比赛</w:t>
            </w:r>
          </w:p>
          <w:p>
            <w:pPr>
              <w:pStyle w:val="35"/>
              <w:rPr>
                <w:rFonts w:hint="eastAsia"/>
                <w:highlight w:val="none"/>
              </w:rPr>
            </w:pPr>
          </w:p>
        </w:tc>
        <w:tc>
          <w:tcPr>
            <w:tcW w:w="4264" w:type="dxa"/>
            <w:shd w:val="clear" w:color="auto" w:fill="auto"/>
          </w:tcPr>
          <w:p>
            <w:pPr>
              <w:pStyle w:val="35"/>
              <w:rPr>
                <w:rFonts w:hint="default"/>
                <w:highlight w:val="none"/>
                <w:lang w:val="en-US" w:eastAsia="zh-CN"/>
              </w:rPr>
            </w:pPr>
            <w:r>
              <w:rPr>
                <w:rFonts w:hint="default"/>
                <w:highlight w:val="none"/>
                <w:lang w:val="en-US" w:eastAsia="zh-CN"/>
              </w:rPr>
              <w:drawing>
                <wp:inline distT="0" distB="0" distL="114300" distR="114300">
                  <wp:extent cx="2520315" cy="1979930"/>
                  <wp:effectExtent l="0" t="0" r="13335" b="1270"/>
                  <wp:docPr id="29" name="图片 29" descr="A78C1D2B7A4679E8F9381226574EF71B"/>
                  <wp:cNvGraphicFramePr/>
                  <a:graphic xmlns:a="http://schemas.openxmlformats.org/drawingml/2006/main">
                    <a:graphicData uri="http://schemas.openxmlformats.org/drawingml/2006/picture">
                      <pic:pic xmlns:pic="http://schemas.openxmlformats.org/drawingml/2006/picture">
                        <pic:nvPicPr>
                          <pic:cNvPr id="29" name="图片 29" descr="A78C1D2B7A4679E8F9381226574EF71B"/>
                          <pic:cNvPicPr/>
                        </pic:nvPicPr>
                        <pic:blipFill>
                          <a:blip r:embed="rId41"/>
                          <a:stretch>
                            <a:fillRect/>
                          </a:stretch>
                        </pic:blipFill>
                        <pic:spPr>
                          <a:xfrm>
                            <a:off x="0" y="0"/>
                            <a:ext cx="2520315" cy="1979930"/>
                          </a:xfrm>
                          <a:prstGeom prst="rect">
                            <a:avLst/>
                          </a:prstGeom>
                        </pic:spPr>
                      </pic:pic>
                    </a:graphicData>
                  </a:graphic>
                </wp:inline>
              </w:drawing>
            </w:r>
          </w:p>
          <w:p>
            <w:pPr>
              <w:pStyle w:val="35"/>
              <w:rPr>
                <w:rFonts w:hint="default"/>
                <w:highlight w:val="none"/>
                <w:lang w:val="en-US" w:eastAsia="zh-CN"/>
              </w:rPr>
            </w:pPr>
            <w:r>
              <w:rPr>
                <w:rFonts w:hint="eastAsia"/>
                <w:highlight w:val="none"/>
                <w:lang w:val="en-US" w:eastAsia="zh-CN"/>
              </w:rPr>
              <w:t>图35 宿州公司开展员工兵乓球比赛</w:t>
            </w:r>
          </w:p>
        </w:tc>
      </w:tr>
    </w:tbl>
    <w:p>
      <w:pPr>
        <w:pStyle w:val="39"/>
        <w:rPr>
          <w:rFonts w:ascii="黑体" w:hAnsi="黑体"/>
          <w:highlight w:val="none"/>
        </w:rPr>
      </w:pPr>
    </w:p>
    <w:p>
      <w:pPr>
        <w:rPr>
          <w:highlight w:val="none"/>
        </w:rPr>
      </w:pPr>
      <w:bookmarkStart w:id="46" w:name="_Toc32933562"/>
    </w:p>
    <w:p>
      <w:pPr>
        <w:rPr>
          <w:highlight w:val="none"/>
        </w:rPr>
        <w:sectPr>
          <w:pgSz w:w="11906" w:h="16838"/>
          <w:pgMar w:top="1440" w:right="1797" w:bottom="1440" w:left="1797" w:header="851" w:footer="992" w:gutter="0"/>
          <w:cols w:space="425" w:num="1"/>
          <w:docGrid w:linePitch="312" w:charSpace="0"/>
        </w:sectPr>
      </w:pPr>
    </w:p>
    <w:p>
      <w:pPr>
        <w:pStyle w:val="3"/>
        <w:spacing w:before="240" w:after="240"/>
        <w:rPr>
          <w:highlight w:val="none"/>
        </w:rPr>
      </w:pPr>
      <w:bookmarkStart w:id="47" w:name="_Toc32950340"/>
      <w:bookmarkStart w:id="48" w:name="_Toc33176296"/>
      <w:r>
        <w:rPr>
          <w:rFonts w:hint="eastAsia"/>
          <w:highlight w:val="none"/>
        </w:rPr>
        <w:t>绿色</w:t>
      </w:r>
      <w:r>
        <w:rPr>
          <w:highlight w:val="none"/>
        </w:rPr>
        <w:t>发展</w:t>
      </w:r>
      <w:bookmarkEnd w:id="46"/>
      <w:bookmarkEnd w:id="47"/>
      <w:bookmarkEnd w:id="48"/>
    </w:p>
    <w:p>
      <w:pPr>
        <w:pStyle w:val="34"/>
        <w:rPr>
          <w:b/>
          <w:highlight w:val="none"/>
        </w:rPr>
      </w:pPr>
      <w:r>
        <w:rPr>
          <w:rFonts w:hint="eastAsia"/>
          <w:highlight w:val="none"/>
        </w:rPr>
        <w:t>绿色是生命的象征、大自然的底色。</w:t>
      </w:r>
      <w:r>
        <w:rPr>
          <w:rFonts w:cs="Arial"/>
          <w:highlight w:val="none"/>
        </w:rPr>
        <w:t>从内涵看，绿色发展是在传统发展基础上的一种模式创新，是建立在生态环境容量和资源承载力的约束条件下，将环境保护作为实现可持续发展重要支柱的一种新型发展模式</w:t>
      </w:r>
      <w:r>
        <w:rPr>
          <w:rFonts w:hint="eastAsia"/>
          <w:highlight w:val="none"/>
        </w:rPr>
        <w:t>准确把握生态文明建设规律的科学发展理念。科学发展理念建立在深入认识把握发展规律的基础上。党的十九大以来，习近平同志立足推进我国社会主义现代化建设的时代使命，洞悉从工业文明到生态文明跃迁的发展大势和客观规律，就促进人与自然和谐发展提出一系列新思想、新观点、新论断，凝聚形成绿色发展理念，推动了马克思主义生态文明理论在当代中国的创新发展。环保发电公司牢固树立保护生态环境就是保护生产力、改善生态环境就是发展生产力的理念，更加自觉地推动绿色发展、低碳发展、循环发展，绝不以牺牲生态环境为代价换取一时的经济增长。正确处理公司发展同生态环境保护的关系，形成“既要金山银山，又要绿水青山”的绿色价值取向。</w:t>
      </w:r>
    </w:p>
    <w:p>
      <w:pPr>
        <w:pStyle w:val="4"/>
        <w:spacing w:before="240" w:after="240"/>
        <w:rPr>
          <w:highlight w:val="none"/>
        </w:rPr>
      </w:pPr>
      <w:bookmarkStart w:id="49" w:name="_Toc33176297"/>
      <w:bookmarkStart w:id="50" w:name="_Toc32933563"/>
      <w:bookmarkStart w:id="51" w:name="_Toc32950341"/>
      <w:r>
        <w:rPr>
          <w:rFonts w:hint="eastAsia"/>
          <w:highlight w:val="none"/>
        </w:rPr>
        <w:t>环境保护公益活动</w:t>
      </w:r>
      <w:bookmarkEnd w:id="49"/>
      <w:bookmarkEnd w:id="50"/>
      <w:bookmarkEnd w:id="51"/>
    </w:p>
    <w:tbl>
      <w:tblPr>
        <w:tblStyle w:val="19"/>
        <w:tblW w:w="5000" w:type="pct"/>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2500" w:type="pct"/>
            <w:shd w:val="clear" w:color="auto" w:fill="auto"/>
          </w:tcPr>
          <w:p>
            <w:pPr>
              <w:pStyle w:val="39"/>
              <w:rPr>
                <w:highlight w:val="none"/>
              </w:rPr>
            </w:pPr>
            <w:r>
              <w:rPr>
                <w:rFonts w:hint="eastAsia" w:ascii="仿宋_GB2312" w:hAnsi="仿宋_GB2312" w:eastAsia="仿宋_GB2312" w:cs="仿宋_GB2312"/>
                <w:sz w:val="32"/>
                <w:szCs w:val="32"/>
                <w:highlight w:val="none"/>
                <w:lang w:val="en-US" w:eastAsia="zh-CN"/>
              </w:rPr>
              <w:drawing>
                <wp:anchor distT="0" distB="0" distL="114300" distR="114300" simplePos="0" relativeHeight="251668480" behindDoc="1" locked="0" layoutInCell="1" allowOverlap="1">
                  <wp:simplePos x="0" y="0"/>
                  <wp:positionH relativeFrom="column">
                    <wp:posOffset>-7620</wp:posOffset>
                  </wp:positionH>
                  <wp:positionV relativeFrom="paragraph">
                    <wp:posOffset>30480</wp:posOffset>
                  </wp:positionV>
                  <wp:extent cx="2520315" cy="1979930"/>
                  <wp:effectExtent l="0" t="0" r="51435" b="1270"/>
                  <wp:wrapTight wrapText="bothSides">
                    <wp:wrapPolygon>
                      <wp:start x="0" y="0"/>
                      <wp:lineTo x="0" y="21406"/>
                      <wp:lineTo x="21388" y="21406"/>
                      <wp:lineTo x="21388" y="0"/>
                      <wp:lineTo x="0" y="0"/>
                    </wp:wrapPolygon>
                  </wp:wrapTight>
                  <wp:docPr id="78" name="图片 78" descr="IMG_0528"/>
                  <wp:cNvGraphicFramePr/>
                  <a:graphic xmlns:a="http://schemas.openxmlformats.org/drawingml/2006/main">
                    <a:graphicData uri="http://schemas.openxmlformats.org/drawingml/2006/picture">
                      <pic:pic xmlns:pic="http://schemas.openxmlformats.org/drawingml/2006/picture">
                        <pic:nvPicPr>
                          <pic:cNvPr id="78" name="图片 78" descr="IMG_0528"/>
                          <pic:cNvPicPr/>
                        </pic:nvPicPr>
                        <pic:blipFill>
                          <a:blip r:embed="rId42"/>
                          <a:stretch>
                            <a:fillRect/>
                          </a:stretch>
                        </pic:blipFill>
                        <pic:spPr>
                          <a:xfrm>
                            <a:off x="0" y="0"/>
                            <a:ext cx="2520315" cy="1979930"/>
                          </a:xfrm>
                          <a:prstGeom prst="rect">
                            <a:avLst/>
                          </a:prstGeom>
                        </pic:spPr>
                      </pic:pic>
                    </a:graphicData>
                  </a:graphic>
                </wp:anchor>
              </w:drawing>
            </w:r>
          </w:p>
        </w:tc>
        <w:tc>
          <w:tcPr>
            <w:tcW w:w="2500" w:type="pct"/>
            <w:shd w:val="clear" w:color="auto" w:fill="auto"/>
          </w:tcPr>
          <w:p>
            <w:pPr>
              <w:pStyle w:val="39"/>
              <w:rPr>
                <w:highlight w:val="none"/>
              </w:rPr>
            </w:pPr>
            <w:r>
              <w:rPr>
                <w:rFonts w:hint="eastAsia" w:ascii="仿宋_GB2312" w:hAnsi="仿宋_GB2312" w:eastAsia="仿宋_GB2312" w:cs="仿宋_GB2312"/>
                <w:sz w:val="32"/>
                <w:szCs w:val="32"/>
                <w:highlight w:val="none"/>
                <w:lang w:val="en-US" w:eastAsia="zh-CN"/>
              </w:rPr>
              <w:drawing>
                <wp:anchor distT="0" distB="0" distL="114300" distR="114300" simplePos="0" relativeHeight="251669504" behindDoc="1" locked="0" layoutInCell="1" allowOverlap="1">
                  <wp:simplePos x="0" y="0"/>
                  <wp:positionH relativeFrom="column">
                    <wp:posOffset>17145</wp:posOffset>
                  </wp:positionH>
                  <wp:positionV relativeFrom="paragraph">
                    <wp:posOffset>30480</wp:posOffset>
                  </wp:positionV>
                  <wp:extent cx="2520315" cy="1979930"/>
                  <wp:effectExtent l="0" t="0" r="51435" b="1270"/>
                  <wp:wrapTight wrapText="bothSides">
                    <wp:wrapPolygon>
                      <wp:start x="0" y="0"/>
                      <wp:lineTo x="0" y="21406"/>
                      <wp:lineTo x="21388" y="21406"/>
                      <wp:lineTo x="21388" y="0"/>
                      <wp:lineTo x="0" y="0"/>
                    </wp:wrapPolygon>
                  </wp:wrapTight>
                  <wp:docPr id="79" name="图片 79" descr="IMG_0523"/>
                  <wp:cNvGraphicFramePr/>
                  <a:graphic xmlns:a="http://schemas.openxmlformats.org/drawingml/2006/main">
                    <a:graphicData uri="http://schemas.openxmlformats.org/drawingml/2006/picture">
                      <pic:pic xmlns:pic="http://schemas.openxmlformats.org/drawingml/2006/picture">
                        <pic:nvPicPr>
                          <pic:cNvPr id="79" name="图片 79" descr="IMG_0523"/>
                          <pic:cNvPicPr/>
                        </pic:nvPicPr>
                        <pic:blipFill>
                          <a:blip r:embed="rId43"/>
                          <a:stretch>
                            <a:fillRect/>
                          </a:stretch>
                        </pic:blipFill>
                        <pic:spPr>
                          <a:xfrm>
                            <a:off x="0" y="0"/>
                            <a:ext cx="2520315" cy="1979930"/>
                          </a:xfrm>
                          <a:prstGeom prst="rect">
                            <a:avLst/>
                          </a:prstGeom>
                        </pic:spPr>
                      </pic:pic>
                    </a:graphicData>
                  </a:graphic>
                </wp:anchor>
              </w:drawing>
            </w:r>
          </w:p>
        </w:tc>
      </w:tr>
      <w:tr>
        <w:tblPrEx>
          <w:tblCellMar>
            <w:top w:w="0" w:type="dxa"/>
            <w:left w:w="108" w:type="dxa"/>
            <w:bottom w:w="0" w:type="dxa"/>
            <w:right w:w="108" w:type="dxa"/>
          </w:tblCellMar>
        </w:tblPrEx>
        <w:tc>
          <w:tcPr>
            <w:tcW w:w="2500" w:type="pct"/>
            <w:shd w:val="clear" w:color="auto" w:fill="auto"/>
          </w:tcPr>
          <w:p>
            <w:pPr>
              <w:pStyle w:val="35"/>
              <w:rPr>
                <w:rFonts w:hint="default" w:eastAsia="仿宋"/>
                <w:highlight w:val="none"/>
                <w:lang w:val="en-US" w:eastAsia="zh-CN"/>
              </w:rPr>
            </w:pPr>
            <w:r>
              <w:rPr>
                <w:rFonts w:hint="eastAsia"/>
                <w:highlight w:val="none"/>
              </w:rPr>
              <w:t>图</w:t>
            </w:r>
            <w:r>
              <w:rPr>
                <w:highlight w:val="none"/>
              </w:rPr>
              <w:fldChar w:fldCharType="begin"/>
            </w:r>
            <w:r>
              <w:rPr>
                <w:highlight w:val="none"/>
              </w:rPr>
              <w:instrText xml:space="preserve"> </w:instrText>
            </w:r>
            <w:r>
              <w:rPr>
                <w:rFonts w:hint="eastAsia"/>
                <w:highlight w:val="none"/>
              </w:rPr>
              <w:instrText xml:space="preserve">SEQ 图 \* ARABIC</w:instrText>
            </w:r>
            <w:r>
              <w:rPr>
                <w:highlight w:val="none"/>
              </w:rPr>
              <w:instrText xml:space="preserve"> </w:instrText>
            </w:r>
            <w:r>
              <w:rPr>
                <w:highlight w:val="none"/>
              </w:rPr>
              <w:fldChar w:fldCharType="separate"/>
            </w:r>
            <w:r>
              <w:rPr>
                <w:highlight w:val="none"/>
              </w:rPr>
              <w:t>3</w:t>
            </w:r>
            <w:r>
              <w:rPr>
                <w:rFonts w:hint="eastAsia"/>
                <w:highlight w:val="none"/>
                <w:lang w:val="en-US" w:eastAsia="zh-CN"/>
              </w:rPr>
              <w:t>6</w:t>
            </w:r>
            <w:r>
              <w:rPr>
                <w:highlight w:val="none"/>
              </w:rPr>
              <w:fldChar w:fldCharType="end"/>
            </w:r>
            <w:r>
              <w:rPr>
                <w:highlight w:val="none"/>
              </w:rPr>
              <w:t xml:space="preserve"> </w:t>
            </w:r>
            <w:r>
              <w:rPr>
                <w:rFonts w:hint="eastAsia"/>
                <w:highlight w:val="none"/>
                <w:lang w:eastAsia="zh-CN"/>
              </w:rPr>
              <w:t>临泉</w:t>
            </w:r>
            <w:r>
              <w:rPr>
                <w:rFonts w:hint="eastAsia"/>
                <w:highlight w:val="none"/>
              </w:rPr>
              <w:t>公司</w:t>
            </w:r>
            <w:r>
              <w:rPr>
                <w:rFonts w:hint="eastAsia"/>
                <w:highlight w:val="none"/>
                <w:lang w:eastAsia="zh-CN"/>
              </w:rPr>
              <w:t>环保公益</w:t>
            </w:r>
            <w:r>
              <w:rPr>
                <w:rFonts w:hint="eastAsia"/>
                <w:highlight w:val="none"/>
              </w:rPr>
              <w:t>活动</w:t>
            </w:r>
            <w:r>
              <w:rPr>
                <w:rFonts w:hint="eastAsia"/>
                <w:highlight w:val="none"/>
                <w:lang w:val="en-US" w:eastAsia="zh-CN"/>
              </w:rPr>
              <w:t>-1</w:t>
            </w:r>
          </w:p>
        </w:tc>
        <w:tc>
          <w:tcPr>
            <w:tcW w:w="2500" w:type="pct"/>
            <w:shd w:val="clear" w:color="auto" w:fill="auto"/>
          </w:tcPr>
          <w:p>
            <w:pPr>
              <w:pStyle w:val="35"/>
              <w:rPr>
                <w:rFonts w:hint="default"/>
                <w:highlight w:val="none"/>
                <w:lang w:val="en-US"/>
              </w:rPr>
            </w:pPr>
            <w:r>
              <w:rPr>
                <w:rFonts w:hint="eastAsia"/>
                <w:highlight w:val="none"/>
              </w:rPr>
              <w:t>图</w:t>
            </w:r>
            <w:r>
              <w:rPr>
                <w:rFonts w:hint="eastAsia"/>
                <w:highlight w:val="none"/>
                <w:lang w:val="en-US" w:eastAsia="zh-CN"/>
              </w:rPr>
              <w:t>37</w:t>
            </w:r>
            <w:r>
              <w:rPr>
                <w:highlight w:val="none"/>
              </w:rPr>
              <w:t xml:space="preserve"> </w:t>
            </w:r>
            <w:r>
              <w:rPr>
                <w:rFonts w:hint="eastAsia"/>
                <w:highlight w:val="none"/>
                <w:lang w:eastAsia="zh-CN"/>
              </w:rPr>
              <w:t>临泉</w:t>
            </w:r>
            <w:r>
              <w:rPr>
                <w:rFonts w:hint="eastAsia"/>
                <w:highlight w:val="none"/>
              </w:rPr>
              <w:t>公司</w:t>
            </w:r>
            <w:r>
              <w:rPr>
                <w:rFonts w:hint="eastAsia"/>
                <w:highlight w:val="none"/>
                <w:lang w:eastAsia="zh-CN"/>
              </w:rPr>
              <w:t>环保公益</w:t>
            </w:r>
            <w:r>
              <w:rPr>
                <w:rFonts w:hint="eastAsia"/>
                <w:highlight w:val="none"/>
              </w:rPr>
              <w:t>活动</w:t>
            </w:r>
            <w:r>
              <w:rPr>
                <w:rFonts w:hint="eastAsia"/>
                <w:highlight w:val="none"/>
                <w:lang w:val="en-US" w:eastAsia="zh-CN"/>
              </w:rPr>
              <w:t>-2</w:t>
            </w:r>
          </w:p>
        </w:tc>
      </w:tr>
      <w:tr>
        <w:tblPrEx>
          <w:tblCellMar>
            <w:top w:w="0" w:type="dxa"/>
            <w:left w:w="108" w:type="dxa"/>
            <w:bottom w:w="0" w:type="dxa"/>
            <w:right w:w="108" w:type="dxa"/>
          </w:tblCellMar>
        </w:tblPrEx>
        <w:tc>
          <w:tcPr>
            <w:tcW w:w="5000" w:type="pct"/>
            <w:gridSpan w:val="2"/>
            <w:shd w:val="clear" w:color="auto" w:fill="auto"/>
          </w:tcPr>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eastAsia"/>
                <w:highlight w:val="none"/>
              </w:rPr>
            </w:pPr>
            <w:r>
              <w:rPr>
                <w:rFonts w:hint="eastAsia" w:eastAsia="仿宋"/>
                <w:highlight w:val="none"/>
                <w:lang w:eastAsia="zh-CN"/>
              </w:rPr>
              <w:drawing>
                <wp:inline distT="0" distB="0" distL="114300" distR="114300">
                  <wp:extent cx="2520315" cy="1979930"/>
                  <wp:effectExtent l="0" t="0" r="13335" b="1270"/>
                  <wp:docPr id="80" name="图片 80" descr="阜阳环保考试"/>
                  <wp:cNvGraphicFramePr/>
                  <a:graphic xmlns:a="http://schemas.openxmlformats.org/drawingml/2006/main">
                    <a:graphicData uri="http://schemas.openxmlformats.org/drawingml/2006/picture">
                      <pic:pic xmlns:pic="http://schemas.openxmlformats.org/drawingml/2006/picture">
                        <pic:nvPicPr>
                          <pic:cNvPr id="80" name="图片 80" descr="阜阳环保考试"/>
                          <pic:cNvPicPr/>
                        </pic:nvPicPr>
                        <pic:blipFill>
                          <a:blip r:embed="rId44"/>
                          <a:stretch>
                            <a:fillRect/>
                          </a:stretch>
                        </pic:blipFill>
                        <pic:spPr>
                          <a:xfrm>
                            <a:off x="0" y="0"/>
                            <a:ext cx="2520315" cy="1979930"/>
                          </a:xfrm>
                          <a:prstGeom prst="rect">
                            <a:avLst/>
                          </a:prstGeom>
                        </pic:spPr>
                      </pic:pic>
                    </a:graphicData>
                  </a:graphic>
                </wp:inline>
              </w:drawing>
            </w:r>
          </w:p>
          <w:p>
            <w:pPr>
              <w:pStyle w:val="35"/>
              <w:rPr>
                <w:rFonts w:hint="default" w:eastAsia="仿宋"/>
                <w:highlight w:val="none"/>
                <w:lang w:val="en-US" w:eastAsia="zh-CN"/>
              </w:rPr>
            </w:pPr>
            <w:r>
              <w:rPr>
                <w:rFonts w:hint="eastAsia"/>
                <w:highlight w:val="none"/>
                <w:lang w:eastAsia="zh-CN"/>
              </w:rPr>
              <w:t>图</w:t>
            </w:r>
            <w:r>
              <w:rPr>
                <w:rFonts w:hint="eastAsia"/>
                <w:highlight w:val="none"/>
                <w:lang w:val="en-US" w:eastAsia="zh-CN"/>
              </w:rPr>
              <w:t>38 阜阳公司环保新规考试</w:t>
            </w:r>
          </w:p>
        </w:tc>
      </w:tr>
    </w:tbl>
    <w:p>
      <w:pPr>
        <w:pStyle w:val="39"/>
        <w:rPr>
          <w:highlight w:val="none"/>
        </w:rPr>
      </w:pPr>
    </w:p>
    <w:p>
      <w:pPr>
        <w:pStyle w:val="35"/>
        <w:ind w:firstLine="560" w:firstLineChars="200"/>
        <w:jc w:val="left"/>
        <w:rPr>
          <w:rFonts w:hint="eastAsia" w:ascii="仿宋" w:hAnsi="仿宋" w:eastAsia="仿宋" w:cs="仿宋"/>
          <w:b w:val="0"/>
          <w:bCs/>
          <w:sz w:val="28"/>
          <w:szCs w:val="28"/>
          <w:highlight w:val="none"/>
        </w:rPr>
      </w:pPr>
      <w:r>
        <w:rPr>
          <w:rFonts w:hint="eastAsia" w:ascii="仿宋" w:hAnsi="仿宋" w:eastAsia="仿宋" w:cs="仿宋"/>
          <w:b w:val="0"/>
          <w:bCs/>
          <w:sz w:val="28"/>
          <w:szCs w:val="28"/>
          <w:highlight w:val="none"/>
          <w:lang w:val="en-US" w:eastAsia="zh-CN"/>
        </w:rPr>
        <w:t>4月22日“</w:t>
      </w:r>
      <w:r>
        <w:rPr>
          <w:rFonts w:hint="eastAsia" w:ascii="仿宋" w:hAnsi="仿宋" w:eastAsia="仿宋" w:cs="仿宋"/>
          <w:b w:val="0"/>
          <w:bCs/>
          <w:sz w:val="28"/>
          <w:szCs w:val="28"/>
          <w:highlight w:val="none"/>
        </w:rPr>
        <w:t>世界地球日</w:t>
      </w:r>
      <w:r>
        <w:rPr>
          <w:rFonts w:hint="eastAsia" w:ascii="仿宋" w:hAnsi="仿宋" w:eastAsia="仿宋" w:cs="仿宋"/>
          <w:b w:val="0"/>
          <w:bCs/>
          <w:sz w:val="28"/>
          <w:szCs w:val="28"/>
          <w:highlight w:val="none"/>
          <w:lang w:eastAsia="zh-CN"/>
        </w:rPr>
        <w:t>”</w:t>
      </w:r>
      <w:r>
        <w:rPr>
          <w:rFonts w:hint="eastAsia" w:ascii="仿宋" w:hAnsi="仿宋" w:eastAsia="仿宋" w:cs="仿宋"/>
          <w:b w:val="0"/>
          <w:bCs/>
          <w:sz w:val="28"/>
          <w:szCs w:val="28"/>
          <w:highlight w:val="none"/>
          <w:lang w:val="en-US" w:eastAsia="zh-CN"/>
        </w:rPr>
        <w:t>临泉公司组织志愿者到临泉县的泉河边上，</w:t>
      </w:r>
      <w:r>
        <w:rPr>
          <w:rFonts w:hint="eastAsia" w:ascii="仿宋" w:hAnsi="仿宋" w:eastAsia="仿宋" w:cs="仿宋"/>
          <w:b w:val="0"/>
          <w:bCs/>
          <w:sz w:val="28"/>
          <w:szCs w:val="28"/>
          <w:highlight w:val="none"/>
        </w:rPr>
        <w:t>用实际行动</w:t>
      </w:r>
      <w:r>
        <w:rPr>
          <w:rFonts w:hint="eastAsia" w:ascii="仿宋" w:hAnsi="仿宋" w:eastAsia="仿宋" w:cs="仿宋"/>
          <w:b w:val="0"/>
          <w:bCs/>
          <w:sz w:val="28"/>
          <w:szCs w:val="28"/>
          <w:highlight w:val="none"/>
          <w:lang w:eastAsia="zh-CN"/>
        </w:rPr>
        <w:t>捡拾河边垃圾和清理取水口的杂草</w:t>
      </w:r>
      <w:r>
        <w:rPr>
          <w:rFonts w:hint="eastAsia" w:ascii="仿宋" w:hAnsi="仿宋" w:eastAsia="仿宋" w:cs="仿宋"/>
          <w:b w:val="0"/>
          <w:bCs/>
          <w:sz w:val="28"/>
          <w:szCs w:val="28"/>
          <w:highlight w:val="none"/>
        </w:rPr>
        <w:t>来保护河道环境</w:t>
      </w:r>
      <w:r>
        <w:rPr>
          <w:rFonts w:hint="eastAsia" w:ascii="仿宋" w:hAnsi="仿宋" w:eastAsia="仿宋" w:cs="仿宋"/>
          <w:b w:val="0"/>
          <w:bCs/>
          <w:sz w:val="28"/>
          <w:szCs w:val="28"/>
          <w:highlight w:val="none"/>
          <w:lang w:eastAsia="zh-CN"/>
        </w:rPr>
        <w:t>，</w:t>
      </w:r>
      <w:r>
        <w:rPr>
          <w:rFonts w:hint="eastAsia" w:ascii="仿宋" w:hAnsi="仿宋" w:eastAsia="仿宋" w:cs="仿宋"/>
          <w:b w:val="0"/>
          <w:bCs/>
          <w:sz w:val="28"/>
          <w:szCs w:val="28"/>
          <w:highlight w:val="none"/>
          <w:lang w:val="en-US" w:eastAsia="zh-CN"/>
        </w:rPr>
        <w:t>通过</w:t>
      </w:r>
      <w:r>
        <w:rPr>
          <w:rFonts w:hint="eastAsia" w:ascii="仿宋" w:hAnsi="仿宋" w:eastAsia="仿宋" w:cs="仿宋"/>
          <w:b w:val="0"/>
          <w:bCs/>
          <w:sz w:val="28"/>
          <w:szCs w:val="28"/>
          <w:highlight w:val="none"/>
        </w:rPr>
        <w:t>提高了大家的卫生、环保、文明意识，增强</w:t>
      </w:r>
      <w:r>
        <w:rPr>
          <w:rFonts w:hint="eastAsia" w:ascii="仿宋" w:hAnsi="仿宋" w:eastAsia="仿宋" w:cs="仿宋"/>
          <w:b w:val="0"/>
          <w:bCs/>
          <w:sz w:val="28"/>
          <w:szCs w:val="28"/>
          <w:highlight w:val="none"/>
          <w:lang w:val="en-US" w:eastAsia="zh-CN"/>
        </w:rPr>
        <w:t>员工的</w:t>
      </w:r>
      <w:r>
        <w:rPr>
          <w:rFonts w:hint="eastAsia" w:ascii="仿宋" w:hAnsi="仿宋" w:eastAsia="仿宋" w:cs="仿宋"/>
          <w:b w:val="0"/>
          <w:bCs/>
          <w:sz w:val="28"/>
          <w:szCs w:val="28"/>
          <w:highlight w:val="none"/>
        </w:rPr>
        <w:t>社会责任感</w:t>
      </w:r>
      <w:r>
        <w:rPr>
          <w:rFonts w:hint="eastAsia" w:ascii="仿宋" w:hAnsi="仿宋" w:eastAsia="仿宋" w:cs="仿宋"/>
          <w:b w:val="0"/>
          <w:bCs/>
          <w:sz w:val="28"/>
          <w:szCs w:val="28"/>
          <w:highlight w:val="none"/>
          <w:lang w:eastAsia="zh-CN"/>
        </w:rPr>
        <w:t>，</w:t>
      </w:r>
      <w:r>
        <w:rPr>
          <w:rFonts w:hint="eastAsia" w:ascii="仿宋" w:hAnsi="仿宋" w:eastAsia="仿宋" w:cs="仿宋"/>
          <w:b w:val="0"/>
          <w:bCs/>
          <w:sz w:val="28"/>
          <w:szCs w:val="28"/>
          <w:highlight w:val="none"/>
          <w:lang w:val="en-US" w:eastAsia="zh-CN"/>
        </w:rPr>
        <w:t>为周边群众起到示范带头作用，为开展珍爱美丽地球、人与自然和诣贡献力量。</w:t>
      </w:r>
    </w:p>
    <w:p>
      <w:pPr>
        <w:pStyle w:val="35"/>
        <w:ind w:firstLine="560" w:firstLineChars="200"/>
        <w:jc w:val="left"/>
        <w:rPr>
          <w:rFonts w:hint="eastAsia" w:ascii="仿宋" w:hAnsi="仿宋" w:eastAsia="仿宋" w:cs="仿宋"/>
          <w:b w:val="0"/>
          <w:bCs/>
          <w:sz w:val="28"/>
          <w:szCs w:val="28"/>
          <w:highlight w:val="none"/>
        </w:rPr>
      </w:pPr>
      <w:r>
        <w:rPr>
          <w:rFonts w:hint="eastAsia" w:ascii="仿宋" w:hAnsi="仿宋" w:eastAsia="仿宋" w:cs="仿宋"/>
          <w:b w:val="0"/>
          <w:bCs/>
          <w:sz w:val="28"/>
          <w:szCs w:val="28"/>
          <w:highlight w:val="none"/>
        </w:rPr>
        <w:t>为提高公司生产人员环保意识，保障环保指标稳定达标，结合环保发电公司统一部署，阜阳公司组织值长、单元长、主控等人员进行环保新规的培训及专项考试。根据生态环境部发布的《生活垃圾焚烧发电厂自动监测数据应用管理规定》、《生活垃圾焚烧发电厂自动监测数据标记规则》等文件精神，阜阳公司认真组织本次培训和考试，使公司的一线管理人员和环保设备直接操作人员进一步增强了环保意识。面对2020年环保形势更加严峻的挑战，阜阳公司将不折不扣按照国家环保新规和环保发电公司的要求，全力做好各项环保管理工作，确保环保工作不掉队。</w:t>
      </w: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eastAsia"/>
          <w:highlight w:val="none"/>
        </w:rPr>
      </w:pPr>
    </w:p>
    <w:p>
      <w:pPr>
        <w:pStyle w:val="4"/>
        <w:keepNext w:val="0"/>
        <w:keepLines w:val="0"/>
        <w:pageBreakBefore w:val="0"/>
        <w:widowControl w:val="0"/>
        <w:kinsoku/>
        <w:wordWrap/>
        <w:overflowPunct/>
        <w:topLinePunct w:val="0"/>
        <w:autoSpaceDE/>
        <w:autoSpaceDN/>
        <w:bidi w:val="0"/>
        <w:adjustRightInd/>
        <w:snapToGrid/>
        <w:spacing w:before="240" w:after="240" w:line="360" w:lineRule="auto"/>
        <w:textAlignment w:val="auto"/>
        <w:rPr>
          <w:rFonts w:hint="eastAsia"/>
          <w:highlight w:val="none"/>
        </w:rPr>
      </w:pPr>
      <w:bookmarkStart w:id="52" w:name="_Toc32933564"/>
      <w:bookmarkStart w:id="53" w:name="_Toc32950342"/>
      <w:bookmarkStart w:id="54" w:name="_Toc33176298"/>
      <w:r>
        <w:rPr>
          <w:rFonts w:hint="eastAsia" w:ascii="宋体" w:hAnsi="宋体"/>
          <w:highlight w:val="none"/>
        </w:rPr>
        <w:t>节能减排共建美好家园</w:t>
      </w:r>
      <w:bookmarkEnd w:id="52"/>
      <w:bookmarkEnd w:id="53"/>
      <w:bookmarkEnd w:id="54"/>
      <w:r>
        <w:rPr>
          <w:rFonts w:hint="eastAsia"/>
          <w:highlight w:val="none"/>
        </w:rPr>
        <w:br w:type="textWrapping"/>
      </w:r>
      <w:r>
        <w:rPr>
          <w:rFonts w:hint="eastAsia"/>
          <w:highlight w:val="none"/>
          <w:lang w:val="en-US" w:eastAsia="zh-CN"/>
        </w:rPr>
        <w:t xml:space="preserve">    </w:t>
      </w:r>
      <w:r>
        <w:rPr>
          <w:rFonts w:hint="eastAsia" w:ascii="仿宋" w:hAnsi="仿宋" w:eastAsia="仿宋" w:cs="仿宋"/>
          <w:sz w:val="28"/>
          <w:szCs w:val="28"/>
          <w:highlight w:val="none"/>
        </w:rPr>
        <w:t>新修订的《中华人民共和国固体废物污染环境防治法》于2020年9月1日起施行，这是对原有法律的一次大修大改，不仅增加了企业环境管理责任，在环境违法行为“严惩重罚”方面也达到了新高度，充分体现了“用最严格制度最严密法治保护生态环境”。</w:t>
      </w:r>
    </w:p>
    <w:p>
      <w:pPr>
        <w:pStyle w:val="34"/>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ighlight w:val="none"/>
        </w:rPr>
      </w:pPr>
      <w:r>
        <w:rPr>
          <w:rFonts w:hint="eastAsia"/>
          <w:highlight w:val="none"/>
          <w:lang w:val="en-US" w:eastAsia="zh-CN"/>
        </w:rPr>
        <w:t>2020年</w:t>
      </w:r>
      <w:r>
        <w:rPr>
          <w:rFonts w:hint="eastAsia"/>
          <w:highlight w:val="none"/>
        </w:rPr>
        <w:t>9月10日，定远公司发电运行部组织全体成员参加新《固废法》专题学习会。与会人员重点学习了新《固废法》的立法背景、过程，对法律条款进行系统性逐条研读，并结合自身工作，阐述个人对相关条款的认识和理解。在交流学习中，大家纷纷建言献策，并一致表示要进一步规范企业和个人对固废的处理行为，从自己做起，从身边的小事做起，积极参与保护环境行动，坚定走可持续高质量发展之路。</w:t>
      </w:r>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highlight w:val="none"/>
        </w:rPr>
      </w:pPr>
      <w:r>
        <w:rPr>
          <w:highlight w:val="none"/>
        </w:rPr>
        <w:t>为进一步提高公司员工政治站位,增强环保意识，切实担负起国有企业的社会责任</w:t>
      </w:r>
      <w:r>
        <w:rPr>
          <w:rFonts w:hint="eastAsia"/>
          <w:highlight w:val="none"/>
          <w:lang w:eastAsia="zh-CN"/>
        </w:rPr>
        <w:t>。2020年9月16日临泉公司安环部组织公司员工及外委单位进行了《新固废法》的知识培训。《中华人民共和国固体废物污染环境防治法》（修订版）2020年9月1日实施，本次修订了一般固体废物管理方面五条；危险废物管理方面三条；强化对建筑垃圾、污泥、废弃电子产品和生活垃圾的监管三条；固体废物管理不合规的法律责任加重四条。加大了企业环境管理责任，同时也提高环境处罚的力度。通过本次学习加深了公司员工对固体废物管理的重要性，也是企业的责任，成为环境质量改善的捍卫者，成为绿色可持续发展的排头兵。</w:t>
      </w:r>
    </w:p>
    <w:tbl>
      <w:tblPr>
        <w:tblStyle w:val="19"/>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shd w:val="clear" w:color="auto" w:fill="auto"/>
          </w:tcPr>
          <w:p>
            <w:pPr>
              <w:pStyle w:val="39"/>
              <w:rPr>
                <w:rFonts w:hint="eastAsia" w:eastAsia="宋体"/>
                <w:highlight w:val="none"/>
                <w:lang w:eastAsia="zh-CN"/>
              </w:rPr>
            </w:pPr>
            <w:r>
              <w:rPr>
                <w:rFonts w:hint="eastAsia" w:eastAsia="宋体"/>
                <w:highlight w:val="none"/>
                <w:lang w:eastAsia="zh-CN"/>
              </w:rPr>
              <w:drawing>
                <wp:inline distT="0" distB="0" distL="114300" distR="114300">
                  <wp:extent cx="2520315" cy="1979930"/>
                  <wp:effectExtent l="0" t="0" r="13335" b="1270"/>
                  <wp:docPr id="76" name="图片 76" descr="定远固废法"/>
                  <wp:cNvGraphicFramePr/>
                  <a:graphic xmlns:a="http://schemas.openxmlformats.org/drawingml/2006/main">
                    <a:graphicData uri="http://schemas.openxmlformats.org/drawingml/2006/picture">
                      <pic:pic xmlns:pic="http://schemas.openxmlformats.org/drawingml/2006/picture">
                        <pic:nvPicPr>
                          <pic:cNvPr id="76" name="图片 76" descr="定远固废法"/>
                          <pic:cNvPicPr/>
                        </pic:nvPicPr>
                        <pic:blipFill>
                          <a:blip r:embed="rId45"/>
                          <a:stretch>
                            <a:fillRect/>
                          </a:stretch>
                        </pic:blipFill>
                        <pic:spPr>
                          <a:xfrm>
                            <a:off x="0" y="0"/>
                            <a:ext cx="2520315" cy="1979930"/>
                          </a:xfrm>
                          <a:prstGeom prst="rect">
                            <a:avLst/>
                          </a:prstGeom>
                        </pic:spPr>
                      </pic:pic>
                    </a:graphicData>
                  </a:graphic>
                </wp:inline>
              </w:drawing>
            </w:r>
          </w:p>
        </w:tc>
        <w:tc>
          <w:tcPr>
            <w:tcW w:w="4264" w:type="dxa"/>
            <w:shd w:val="clear" w:color="auto" w:fill="auto"/>
          </w:tcPr>
          <w:p>
            <w:pPr>
              <w:pStyle w:val="39"/>
              <w:rPr>
                <w:rFonts w:hint="eastAsia" w:eastAsia="宋体"/>
                <w:highlight w:val="none"/>
                <w:lang w:eastAsia="zh-CN"/>
              </w:rPr>
            </w:pPr>
            <w:r>
              <w:rPr>
                <w:rFonts w:hint="eastAsia" w:eastAsia="宋体"/>
                <w:highlight w:val="none"/>
                <w:lang w:eastAsia="zh-CN"/>
              </w:rPr>
              <w:drawing>
                <wp:inline distT="0" distB="0" distL="114300" distR="114300">
                  <wp:extent cx="2520315" cy="1979930"/>
                  <wp:effectExtent l="0" t="0" r="13335" b="1270"/>
                  <wp:docPr id="77" name="图片 77" descr="临泉固废法"/>
                  <wp:cNvGraphicFramePr/>
                  <a:graphic xmlns:a="http://schemas.openxmlformats.org/drawingml/2006/main">
                    <a:graphicData uri="http://schemas.openxmlformats.org/drawingml/2006/picture">
                      <pic:pic xmlns:pic="http://schemas.openxmlformats.org/drawingml/2006/picture">
                        <pic:nvPicPr>
                          <pic:cNvPr id="77" name="图片 77" descr="临泉固废法"/>
                          <pic:cNvPicPr/>
                        </pic:nvPicPr>
                        <pic:blipFill>
                          <a:blip r:embed="rId46"/>
                          <a:stretch>
                            <a:fillRect/>
                          </a:stretch>
                        </pic:blipFill>
                        <pic:spPr>
                          <a:xfrm>
                            <a:off x="0" y="0"/>
                            <a:ext cx="2520315" cy="1979930"/>
                          </a:xfrm>
                          <a:prstGeom prst="rect">
                            <a:avLst/>
                          </a:prstGeom>
                        </pic:spPr>
                      </pic:pic>
                    </a:graphicData>
                  </a:graphic>
                </wp:inline>
              </w:drawing>
            </w:r>
          </w:p>
        </w:tc>
      </w:tr>
      <w:tr>
        <w:tblPrEx>
          <w:tblCellMar>
            <w:top w:w="0" w:type="dxa"/>
            <w:left w:w="108" w:type="dxa"/>
            <w:bottom w:w="0" w:type="dxa"/>
            <w:right w:w="108" w:type="dxa"/>
          </w:tblCellMar>
        </w:tblPrEx>
        <w:tc>
          <w:tcPr>
            <w:tcW w:w="4264" w:type="dxa"/>
            <w:shd w:val="clear" w:color="auto" w:fill="auto"/>
          </w:tcPr>
          <w:p>
            <w:pPr>
              <w:pStyle w:val="35"/>
              <w:rPr>
                <w:rFonts w:hint="eastAsia" w:eastAsia="仿宋"/>
                <w:highlight w:val="none"/>
                <w:lang w:eastAsia="zh-CN"/>
              </w:rPr>
            </w:pPr>
            <w:r>
              <w:rPr>
                <w:rFonts w:hint="eastAsia"/>
                <w:highlight w:val="none"/>
              </w:rPr>
              <w:t>图</w:t>
            </w:r>
            <w:r>
              <w:rPr>
                <w:rFonts w:hint="eastAsia"/>
                <w:highlight w:val="none"/>
                <w:lang w:val="en-US" w:eastAsia="zh-CN"/>
              </w:rPr>
              <w:t>39</w:t>
            </w:r>
            <w:r>
              <w:rPr>
                <w:highlight w:val="none"/>
              </w:rPr>
              <w:t xml:space="preserve"> </w:t>
            </w:r>
            <w:r>
              <w:rPr>
                <w:rFonts w:hint="eastAsia"/>
                <w:highlight w:val="none"/>
                <w:lang w:eastAsia="zh-CN"/>
              </w:rPr>
              <w:t>定远公司新《固废法》学习</w:t>
            </w:r>
          </w:p>
        </w:tc>
        <w:tc>
          <w:tcPr>
            <w:tcW w:w="4264" w:type="dxa"/>
            <w:shd w:val="clear" w:color="auto" w:fill="auto"/>
          </w:tcPr>
          <w:p>
            <w:pPr>
              <w:pStyle w:val="35"/>
              <w:rPr>
                <w:highlight w:val="none"/>
              </w:rPr>
            </w:pPr>
            <w:r>
              <w:rPr>
                <w:rFonts w:hint="eastAsia"/>
                <w:highlight w:val="none"/>
              </w:rPr>
              <w:t>图</w:t>
            </w:r>
            <w:r>
              <w:rPr>
                <w:rFonts w:hint="eastAsia"/>
                <w:highlight w:val="none"/>
                <w:lang w:val="en-US" w:eastAsia="zh-CN"/>
              </w:rPr>
              <w:t>40</w:t>
            </w:r>
            <w:r>
              <w:rPr>
                <w:highlight w:val="none"/>
              </w:rPr>
              <w:t xml:space="preserve"> </w:t>
            </w:r>
            <w:r>
              <w:rPr>
                <w:rFonts w:hint="eastAsia"/>
                <w:highlight w:val="none"/>
                <w:lang w:eastAsia="zh-CN"/>
              </w:rPr>
              <w:t>临泉公司新《固废法》学习</w:t>
            </w:r>
          </w:p>
        </w:tc>
      </w:tr>
    </w:tbl>
    <w:p>
      <w:pPr>
        <w:rPr>
          <w:highlight w:val="none"/>
        </w:rPr>
      </w:pPr>
      <w:bookmarkStart w:id="55" w:name="_Toc32933565"/>
    </w:p>
    <w:p>
      <w:pPr>
        <w:rPr>
          <w:highlight w:val="none"/>
        </w:rPr>
        <w:sectPr>
          <w:pgSz w:w="11906" w:h="16838"/>
          <w:pgMar w:top="1440" w:right="1797" w:bottom="1440" w:left="1797" w:header="851" w:footer="992" w:gutter="0"/>
          <w:cols w:space="425" w:num="1"/>
          <w:docGrid w:linePitch="312" w:charSpace="0"/>
        </w:sectPr>
      </w:pPr>
    </w:p>
    <w:p>
      <w:pPr>
        <w:pStyle w:val="3"/>
        <w:spacing w:before="240" w:after="240"/>
        <w:rPr>
          <w:highlight w:val="none"/>
        </w:rPr>
      </w:pPr>
      <w:bookmarkStart w:id="56" w:name="_Toc33176299"/>
      <w:bookmarkStart w:id="57" w:name="_Toc32950343"/>
      <w:r>
        <w:rPr>
          <w:rFonts w:hint="eastAsia"/>
          <w:highlight w:val="none"/>
        </w:rPr>
        <w:t>开</w:t>
      </w:r>
      <w:r>
        <w:rPr>
          <w:highlight w:val="none"/>
        </w:rPr>
        <w:t>放发展</w:t>
      </w:r>
      <w:bookmarkEnd w:id="55"/>
      <w:bookmarkEnd w:id="56"/>
      <w:bookmarkEnd w:id="57"/>
    </w:p>
    <w:p>
      <w:pPr>
        <w:pStyle w:val="34"/>
        <w:rPr>
          <w:highlight w:val="none"/>
        </w:rPr>
      </w:pPr>
      <w:r>
        <w:rPr>
          <w:rFonts w:hint="eastAsia"/>
          <w:highlight w:val="none"/>
        </w:rPr>
        <w:t>环保发电公司系统抓住世界环境日、五四青年节、城市创建等时机，组织环保志愿者和宣讲团走上街头、深入社区，借助企业宣传片、垃圾发电小贴士、环保实时监控屏等宣传载体，广泛开展了以垃圾发电网上论坛、面对面科普答疑、厂乡联谊共建等为主题的环保公益活动。同时企业打破关门办厂的思想禁锢，各垃圾发电厂通过举办“企业开放日”、“厂情发布日”、“总经理接待日”等方式，迎来了数以千计的官员、市民、大学生及媒体朋友，他们在调研参观、社会实践和现场采访中，彻底颠覆了对垃圾焚烧发电厂脏乱差的最初想象。</w:t>
      </w:r>
    </w:p>
    <w:p>
      <w:pPr>
        <w:pStyle w:val="34"/>
        <w:rPr>
          <w:rFonts w:hint="eastAsia"/>
          <w:highlight w:val="none"/>
          <w:lang w:val="en-US" w:eastAsia="zh-CN"/>
        </w:rPr>
      </w:pPr>
      <w:r>
        <w:rPr>
          <w:rFonts w:hint="eastAsia"/>
          <w:highlight w:val="none"/>
          <w:lang w:val="en-US" w:eastAsia="zh-CN"/>
        </w:rPr>
        <w:t>8月29日下午，宿州市公交公司劳模优秀职工代表参观团一行40余人赴宿州公司参观学习。参观团在听取宿州公司负责人关于垃圾焚烧发电历程、公司生产运营和二期扩建工程项目的介绍后，观看了宿州生活垃圾焚烧发电项目宣传片和垃圾焚烧发电工艺动漫片，随后代表团成员参观了垃圾吊控制室、集控中心、垃圾卸料平台、汽机房和垃圾环保展示参观通道。参观中，代表们被先进的垃圾焚烧工艺、科学严谨的网格化管理和优美的厂区环境深深地吸引。全国劳模、安徽省人大代表、宿州市公交公司驾驶员曹荣深有感触的说，垃圾焚烧发电利国利民利环保，我们每一位公民都要从思想上行动上加强环保意识，自觉做好垃圾分类，共同为宿州市经济、社会、环境的持续发展做出积极的贡献。</w:t>
      </w:r>
    </w:p>
    <w:p>
      <w:pPr>
        <w:pStyle w:val="34"/>
        <w:rPr>
          <w:rFonts w:hint="eastAsia"/>
          <w:highlight w:val="none"/>
          <w:lang w:val="en-US" w:eastAsia="zh-CN"/>
        </w:rPr>
      </w:pPr>
      <w:r>
        <w:rPr>
          <w:rFonts w:hint="eastAsia"/>
          <w:highlight w:val="none"/>
          <w:lang w:val="en-US" w:eastAsia="zh-CN"/>
        </w:rPr>
        <w:t>11月20日上午，宿州市委常委、常务副市长操隆山莅临宿州公司检查指导工作，宿州市生态环境局、宿州市城市管理局相关负责人陪同。操隆山一行先后参观了垃圾吊控制室、主控室、卸料平台等工作区域，深入了解整套垃圾焚烧、烟气处理工艺。随后听取了宿州公司负责人关于一期项目整体运营情况及二期扩建项目实施进展的汇报。操隆山对宿州公司在环保及民生方面做出贡献给予充分肯定，对公司运营管理和整洁的环境卫生给予高度评价。同时要求宿州公司在一期项目的基础上，稳步推进二期项目建设工作，为宿州市城市环境保护贡献更大力量。</w:t>
      </w:r>
    </w:p>
    <w:p>
      <w:pPr>
        <w:pStyle w:val="34"/>
        <w:rPr>
          <w:rFonts w:hint="eastAsia"/>
          <w:highlight w:val="none"/>
        </w:rPr>
      </w:pPr>
    </w:p>
    <w:p>
      <w:pPr>
        <w:pStyle w:val="34"/>
        <w:rPr>
          <w:rFonts w:hint="eastAsia"/>
          <w:highlight w:val="none"/>
        </w:rPr>
      </w:pPr>
    </w:p>
    <w:p>
      <w:pPr>
        <w:pStyle w:val="34"/>
        <w:rPr>
          <w:rFonts w:hint="eastAsia"/>
          <w:highlight w:val="none"/>
        </w:rPr>
      </w:pPr>
    </w:p>
    <w:p>
      <w:pPr>
        <w:pStyle w:val="34"/>
        <w:rPr>
          <w:rFonts w:hint="eastAsia"/>
          <w:highlight w:val="none"/>
        </w:rPr>
      </w:pPr>
    </w:p>
    <w:tbl>
      <w:tblPr>
        <w:tblStyle w:val="19"/>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shd w:val="clear" w:color="auto" w:fill="auto"/>
          </w:tcPr>
          <w:p>
            <w:pPr>
              <w:jc w:val="center"/>
              <w:rPr>
                <w:rFonts w:ascii="黑体" w:hAnsi="黑体" w:eastAsia="黑体" w:cs="宋体"/>
                <w:b/>
                <w:bCs/>
                <w:kern w:val="0"/>
                <w:sz w:val="18"/>
                <w:szCs w:val="18"/>
                <w:highlight w:val="none"/>
              </w:rPr>
            </w:pPr>
            <w:r>
              <w:rPr>
                <w:highlight w:val="none"/>
              </w:rPr>
              <w:drawing>
                <wp:inline distT="0" distB="0" distL="114300" distR="114300">
                  <wp:extent cx="2520315" cy="1979930"/>
                  <wp:effectExtent l="0" t="0" r="13335" b="1270"/>
                  <wp:docPr id="81" name="图片 26"/>
                  <wp:cNvGraphicFramePr/>
                  <a:graphic xmlns:a="http://schemas.openxmlformats.org/drawingml/2006/main">
                    <a:graphicData uri="http://schemas.openxmlformats.org/drawingml/2006/picture">
                      <pic:pic xmlns:pic="http://schemas.openxmlformats.org/drawingml/2006/picture">
                        <pic:nvPicPr>
                          <pic:cNvPr id="81" name="图片 26"/>
                          <pic:cNvPicPr/>
                        </pic:nvPicPr>
                        <pic:blipFill>
                          <a:blip r:embed="rId47"/>
                          <a:stretch>
                            <a:fillRect/>
                          </a:stretch>
                        </pic:blipFill>
                        <pic:spPr>
                          <a:xfrm>
                            <a:off x="0" y="0"/>
                            <a:ext cx="2520315" cy="1979930"/>
                          </a:xfrm>
                          <a:prstGeom prst="rect">
                            <a:avLst/>
                          </a:prstGeom>
                          <a:noFill/>
                          <a:ln>
                            <a:noFill/>
                          </a:ln>
                        </pic:spPr>
                      </pic:pic>
                    </a:graphicData>
                  </a:graphic>
                </wp:inline>
              </w:drawing>
            </w:r>
          </w:p>
        </w:tc>
        <w:tc>
          <w:tcPr>
            <w:tcW w:w="4264" w:type="dxa"/>
            <w:shd w:val="clear" w:color="auto" w:fill="auto"/>
          </w:tcPr>
          <w:p>
            <w:pPr>
              <w:jc w:val="center"/>
              <w:rPr>
                <w:rFonts w:ascii="黑体" w:hAnsi="黑体" w:eastAsia="黑体" w:cs="宋体"/>
                <w:b/>
                <w:bCs/>
                <w:kern w:val="0"/>
                <w:sz w:val="18"/>
                <w:szCs w:val="18"/>
                <w:highlight w:val="none"/>
              </w:rPr>
            </w:pPr>
            <w:r>
              <w:rPr>
                <w:highlight w:val="none"/>
              </w:rPr>
              <w:drawing>
                <wp:inline distT="0" distB="0" distL="114300" distR="114300">
                  <wp:extent cx="2520315" cy="1979930"/>
                  <wp:effectExtent l="0" t="0" r="13335" b="1270"/>
                  <wp:docPr id="33" name="图片 29"/>
                  <wp:cNvGraphicFramePr/>
                  <a:graphic xmlns:a="http://schemas.openxmlformats.org/drawingml/2006/main">
                    <a:graphicData uri="http://schemas.openxmlformats.org/drawingml/2006/picture">
                      <pic:pic xmlns:pic="http://schemas.openxmlformats.org/drawingml/2006/picture">
                        <pic:nvPicPr>
                          <pic:cNvPr id="33" name="图片 29"/>
                          <pic:cNvPicPr/>
                        </pic:nvPicPr>
                        <pic:blipFill>
                          <a:blip r:embed="rId48"/>
                          <a:stretch>
                            <a:fillRect/>
                          </a:stretch>
                        </pic:blipFill>
                        <pic:spPr>
                          <a:xfrm>
                            <a:off x="0" y="0"/>
                            <a:ext cx="2520315" cy="197993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4" w:type="dxa"/>
            <w:shd w:val="clear" w:color="auto" w:fill="auto"/>
          </w:tcPr>
          <w:p>
            <w:pPr>
              <w:pStyle w:val="35"/>
              <w:rPr>
                <w:rFonts w:hint="eastAsia"/>
                <w:highlight w:val="none"/>
                <w:lang w:val="en-US" w:eastAsia="zh-CN"/>
              </w:rPr>
            </w:pPr>
            <w:r>
              <w:rPr>
                <w:rFonts w:hint="eastAsia"/>
                <w:highlight w:val="none"/>
              </w:rPr>
              <w:t>图</w:t>
            </w:r>
            <w:r>
              <w:rPr>
                <w:rFonts w:hint="eastAsia"/>
                <w:highlight w:val="none"/>
                <w:lang w:val="en-US" w:eastAsia="zh-CN"/>
              </w:rPr>
              <w:t>41</w:t>
            </w:r>
            <w:r>
              <w:rPr>
                <w:highlight w:val="none"/>
              </w:rPr>
              <w:t xml:space="preserve"> </w:t>
            </w:r>
            <w:r>
              <w:rPr>
                <w:rFonts w:hint="eastAsia"/>
                <w:highlight w:val="none"/>
                <w:lang w:val="en-US" w:eastAsia="zh-CN"/>
              </w:rPr>
              <w:t>宿州市公交公司劳模优秀职工代表参观团赴宿州公司参观学习</w:t>
            </w:r>
          </w:p>
          <w:p>
            <w:pPr>
              <w:pStyle w:val="35"/>
              <w:rPr>
                <w:highlight w:val="none"/>
              </w:rPr>
            </w:pPr>
          </w:p>
        </w:tc>
        <w:tc>
          <w:tcPr>
            <w:tcW w:w="4264" w:type="dxa"/>
            <w:shd w:val="clear" w:color="auto" w:fill="auto"/>
          </w:tcPr>
          <w:p>
            <w:pPr>
              <w:pStyle w:val="35"/>
              <w:rPr>
                <w:highlight w:val="none"/>
              </w:rPr>
            </w:pPr>
            <w:r>
              <w:rPr>
                <w:rFonts w:hint="eastAsia"/>
                <w:highlight w:val="none"/>
              </w:rPr>
              <w:t>图</w:t>
            </w:r>
            <w:r>
              <w:rPr>
                <w:rFonts w:hint="eastAsia"/>
                <w:highlight w:val="none"/>
                <w:lang w:val="en-US" w:eastAsia="zh-CN"/>
              </w:rPr>
              <w:t>42</w:t>
            </w:r>
            <w:r>
              <w:rPr>
                <w:highlight w:val="none"/>
              </w:rPr>
              <w:t xml:space="preserve"> </w:t>
            </w:r>
            <w:r>
              <w:rPr>
                <w:rFonts w:hint="eastAsia"/>
                <w:highlight w:val="none"/>
              </w:rPr>
              <w:t>宿州市委常委、常务副市长操隆山赴宿州公司检查指导工作</w:t>
            </w:r>
          </w:p>
        </w:tc>
      </w:tr>
      <w:tr>
        <w:tblPrEx>
          <w:tblCellMar>
            <w:top w:w="0" w:type="dxa"/>
            <w:left w:w="108" w:type="dxa"/>
            <w:bottom w:w="0" w:type="dxa"/>
            <w:right w:w="108" w:type="dxa"/>
          </w:tblCellMar>
        </w:tblPrEx>
        <w:tc>
          <w:tcPr>
            <w:tcW w:w="8528" w:type="dxa"/>
            <w:gridSpan w:val="2"/>
            <w:shd w:val="clear" w:color="auto" w:fill="auto"/>
          </w:tcPr>
          <w:p>
            <w:pPr>
              <w:pStyle w:val="35"/>
              <w:rPr>
                <w:rFonts w:hint="eastAsia"/>
                <w:highlight w:val="none"/>
              </w:rPr>
            </w:pPr>
            <w:r>
              <w:rPr>
                <w:rFonts w:hint="eastAsia" w:ascii="仿宋_GB2312" w:hAnsi="仿宋" w:eastAsia="仿宋_GB2312"/>
                <w:kern w:val="0"/>
                <w:sz w:val="32"/>
                <w:szCs w:val="32"/>
                <w:highlight w:val="none"/>
                <w:lang w:eastAsia="zh-CN"/>
              </w:rPr>
              <w:drawing>
                <wp:anchor distT="0" distB="0" distL="114300" distR="114300" simplePos="0" relativeHeight="251670528" behindDoc="1" locked="0" layoutInCell="1" allowOverlap="1">
                  <wp:simplePos x="0" y="0"/>
                  <wp:positionH relativeFrom="column">
                    <wp:posOffset>1029970</wp:posOffset>
                  </wp:positionH>
                  <wp:positionV relativeFrom="paragraph">
                    <wp:posOffset>30480</wp:posOffset>
                  </wp:positionV>
                  <wp:extent cx="3209925" cy="2139950"/>
                  <wp:effectExtent l="0" t="0" r="9525" b="12700"/>
                  <wp:wrapTight wrapText="bothSides">
                    <wp:wrapPolygon>
                      <wp:start x="0" y="0"/>
                      <wp:lineTo x="0" y="21344"/>
                      <wp:lineTo x="21536" y="21344"/>
                      <wp:lineTo x="21536" y="0"/>
                      <wp:lineTo x="0" y="0"/>
                    </wp:wrapPolygon>
                  </wp:wrapTight>
                  <wp:docPr id="83" name="图片 83" descr="IMG_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4778"/>
                          <pic:cNvPicPr>
                            <a:picLocks noChangeAspect="1"/>
                          </pic:cNvPicPr>
                        </pic:nvPicPr>
                        <pic:blipFill>
                          <a:blip r:embed="rId49"/>
                          <a:stretch>
                            <a:fillRect/>
                          </a:stretch>
                        </pic:blipFill>
                        <pic:spPr>
                          <a:xfrm>
                            <a:off x="0" y="0"/>
                            <a:ext cx="3209925" cy="2139950"/>
                          </a:xfrm>
                          <a:prstGeom prst="rect">
                            <a:avLst/>
                          </a:prstGeom>
                        </pic:spPr>
                      </pic:pic>
                    </a:graphicData>
                  </a:graphic>
                </wp:anchor>
              </w:drawing>
            </w: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eastAsia"/>
                <w:highlight w:val="none"/>
              </w:rPr>
            </w:pPr>
          </w:p>
          <w:p>
            <w:pPr>
              <w:pStyle w:val="35"/>
              <w:rPr>
                <w:rFonts w:hint="default" w:eastAsia="仿宋"/>
                <w:highlight w:val="none"/>
                <w:lang w:val="en-US" w:eastAsia="zh-CN"/>
              </w:rPr>
            </w:pPr>
            <w:r>
              <w:rPr>
                <w:rFonts w:hint="eastAsia"/>
                <w:highlight w:val="none"/>
                <w:lang w:eastAsia="zh-CN"/>
              </w:rPr>
              <w:t>图</w:t>
            </w:r>
            <w:r>
              <w:rPr>
                <w:rFonts w:hint="eastAsia"/>
                <w:highlight w:val="none"/>
                <w:lang w:val="en-US" w:eastAsia="zh-CN"/>
              </w:rPr>
              <w:t>43 蚌埠公司积极与当地政府、各主管部门联系，做好各种形式的沟通交流与互动</w:t>
            </w:r>
          </w:p>
        </w:tc>
      </w:tr>
    </w:tbl>
    <w:p>
      <w:pPr>
        <w:pStyle w:val="39"/>
        <w:rPr>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0"/>
          <w:sz w:val="28"/>
          <w:szCs w:val="28"/>
          <w:highlight w:val="none"/>
        </w:rPr>
      </w:pPr>
      <w:bookmarkStart w:id="58" w:name="_Toc32933566"/>
      <w:r>
        <w:rPr>
          <w:rFonts w:hint="eastAsia" w:ascii="仿宋" w:hAnsi="仿宋" w:eastAsia="仿宋" w:cs="仿宋"/>
          <w:kern w:val="0"/>
          <w:sz w:val="28"/>
          <w:szCs w:val="28"/>
          <w:highlight w:val="none"/>
          <w:lang w:eastAsia="zh-CN"/>
        </w:rPr>
        <w:t>蚌埠</w:t>
      </w:r>
      <w:r>
        <w:rPr>
          <w:rFonts w:hint="eastAsia" w:ascii="仿宋" w:hAnsi="仿宋" w:eastAsia="仿宋" w:cs="仿宋"/>
          <w:kern w:val="0"/>
          <w:sz w:val="28"/>
          <w:szCs w:val="28"/>
          <w:highlight w:val="none"/>
        </w:rPr>
        <w:t>公司注重对内提升完善，对外树立形象，自建设期开始就注意做好施工环境、生态保护措施落实执行。投产后，通过不断优化美化厂区环境，打造“花园式工厂”的良好面貌，积极与当地政府、各主管部门联系，做好各种形式的沟通交流与互动。五河县离休老干部代表团、五河县</w:t>
      </w:r>
      <w:r>
        <w:rPr>
          <w:rFonts w:hint="eastAsia" w:ascii="仿宋" w:hAnsi="仿宋" w:eastAsia="仿宋" w:cs="仿宋"/>
          <w:kern w:val="0"/>
          <w:sz w:val="28"/>
          <w:szCs w:val="28"/>
          <w:highlight w:val="none"/>
          <w:lang w:val="en-US" w:eastAsia="zh-CN"/>
        </w:rPr>
        <w:t>餐饮</w:t>
      </w:r>
      <w:r>
        <w:rPr>
          <w:rFonts w:hint="eastAsia" w:ascii="仿宋" w:hAnsi="仿宋" w:eastAsia="仿宋" w:cs="仿宋"/>
          <w:kern w:val="0"/>
          <w:sz w:val="28"/>
          <w:szCs w:val="28"/>
          <w:highlight w:val="none"/>
        </w:rPr>
        <w:t>协会代表团、</w:t>
      </w:r>
      <w:r>
        <w:rPr>
          <w:rFonts w:hint="eastAsia" w:ascii="仿宋" w:hAnsi="仿宋" w:eastAsia="仿宋" w:cs="仿宋"/>
          <w:kern w:val="0"/>
          <w:sz w:val="28"/>
          <w:szCs w:val="28"/>
          <w:highlight w:val="none"/>
          <w:lang w:val="en-US" w:eastAsia="zh-CN"/>
        </w:rPr>
        <w:t>县</w:t>
      </w:r>
      <w:r>
        <w:rPr>
          <w:rFonts w:hint="eastAsia" w:ascii="仿宋" w:hAnsi="仿宋" w:eastAsia="仿宋" w:cs="仿宋"/>
          <w:kern w:val="0"/>
          <w:sz w:val="28"/>
          <w:szCs w:val="28"/>
          <w:highlight w:val="none"/>
        </w:rPr>
        <w:t>组织部</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镇政府等</w:t>
      </w:r>
      <w:r>
        <w:rPr>
          <w:rFonts w:hint="eastAsia" w:ascii="仿宋" w:hAnsi="仿宋" w:eastAsia="仿宋" w:cs="仿宋"/>
          <w:kern w:val="0"/>
          <w:sz w:val="28"/>
          <w:szCs w:val="28"/>
          <w:highlight w:val="none"/>
        </w:rPr>
        <w:t>相关人员等均来我公司参观指导，并与五河县城市管理局形成“城管开放日”的良好互动机制，有效提高了环保发电企业的社会形象。</w:t>
      </w:r>
    </w:p>
    <w:p>
      <w:pPr>
        <w:rPr>
          <w:highlight w:val="none"/>
        </w:rPr>
        <w:sectPr>
          <w:pgSz w:w="11906" w:h="16838"/>
          <w:pgMar w:top="1440" w:right="1797" w:bottom="1440" w:left="1797" w:header="851" w:footer="992" w:gutter="0"/>
          <w:cols w:space="425" w:num="1"/>
          <w:docGrid w:linePitch="312" w:charSpace="0"/>
        </w:sectPr>
      </w:pPr>
    </w:p>
    <w:p>
      <w:pPr>
        <w:pStyle w:val="3"/>
        <w:spacing w:before="240" w:after="240"/>
        <w:rPr>
          <w:highlight w:val="none"/>
        </w:rPr>
      </w:pPr>
      <w:bookmarkStart w:id="59" w:name="_Toc32950344"/>
      <w:bookmarkStart w:id="60" w:name="_Toc33176300"/>
      <w:r>
        <w:rPr>
          <w:rFonts w:hint="eastAsia"/>
          <w:highlight w:val="none"/>
        </w:rPr>
        <w:t>共享发展</w:t>
      </w:r>
      <w:bookmarkEnd w:id="58"/>
      <w:bookmarkEnd w:id="59"/>
      <w:bookmarkEnd w:id="60"/>
    </w:p>
    <w:p>
      <w:pPr>
        <w:pStyle w:val="34"/>
        <w:rPr>
          <w:highlight w:val="none"/>
        </w:rPr>
      </w:pPr>
      <w:r>
        <w:rPr>
          <w:rFonts w:hint="eastAsia"/>
          <w:highlight w:val="none"/>
        </w:rPr>
        <w:t>环保发电公司通过一系列弘扬主题正能量，影响和带动了广大员工共创企业美好未来。公司认真践行社会责任，坚持服务人民，造福社会，主动承担社会责任，打造内外部环境，督促下属子公司与各方携手一起通过积极参与当地经济的发展，努力回报社会，共同推动社会发展。公司结合企业的自身特点，积极参与社区建设，给当地群众提供就业机会，不仅充分发挥企业社会责任，而且有效促进地区发展。</w:t>
      </w:r>
    </w:p>
    <w:p>
      <w:pPr>
        <w:pStyle w:val="34"/>
        <w:rPr>
          <w:rFonts w:hint="eastAsia"/>
          <w:highlight w:val="none"/>
          <w:lang w:val="en-US" w:eastAsia="zh-CN"/>
        </w:rPr>
      </w:pPr>
      <w:r>
        <w:rPr>
          <w:rFonts w:hint="eastAsia"/>
          <w:highlight w:val="none"/>
        </w:rPr>
        <w:t>截止</w:t>
      </w:r>
      <w:r>
        <w:rPr>
          <w:rFonts w:hint="eastAsia"/>
          <w:highlight w:val="none"/>
          <w:lang w:val="en-US" w:eastAsia="zh-CN"/>
        </w:rPr>
        <w:t>2020年</w:t>
      </w:r>
      <w:r>
        <w:rPr>
          <w:rFonts w:hint="eastAsia"/>
          <w:highlight w:val="none"/>
        </w:rPr>
        <w:t>12月底，</w:t>
      </w:r>
      <w:r>
        <w:rPr>
          <w:rFonts w:hint="eastAsia"/>
          <w:highlight w:val="none"/>
          <w:lang w:eastAsia="zh-CN"/>
        </w:rPr>
        <w:t>颍上公司</w:t>
      </w:r>
      <w:r>
        <w:rPr>
          <w:rFonts w:hint="eastAsia"/>
          <w:highlight w:val="none"/>
        </w:rPr>
        <w:t>共计接收全县30个乡镇生活垃圾</w:t>
      </w:r>
      <w:r>
        <w:rPr>
          <w:rFonts w:hint="eastAsia"/>
          <w:highlight w:val="none"/>
          <w:lang w:val="en-US" w:eastAsia="zh-CN"/>
        </w:rPr>
        <w:t>26.88</w:t>
      </w:r>
      <w:r>
        <w:rPr>
          <w:rFonts w:hint="eastAsia"/>
          <w:highlight w:val="none"/>
        </w:rPr>
        <w:t>万吨，收购各类生物质燃料</w:t>
      </w:r>
      <w:r>
        <w:rPr>
          <w:rFonts w:hint="eastAsia"/>
          <w:highlight w:val="none"/>
          <w:lang w:val="en-US" w:eastAsia="zh-CN"/>
        </w:rPr>
        <w:t>28.18</w:t>
      </w:r>
      <w:r>
        <w:rPr>
          <w:rFonts w:hint="eastAsia"/>
          <w:highlight w:val="none"/>
        </w:rPr>
        <w:t>万吨，</w:t>
      </w:r>
      <w:r>
        <w:rPr>
          <w:rFonts w:hint="eastAsia"/>
          <w:highlight w:val="none"/>
          <w:lang w:eastAsia="zh-CN"/>
        </w:rPr>
        <w:t>为当地农民创收</w:t>
      </w:r>
      <w:r>
        <w:rPr>
          <w:rFonts w:hint="eastAsia"/>
          <w:highlight w:val="none"/>
          <w:lang w:val="en-US" w:eastAsia="zh-CN"/>
        </w:rPr>
        <w:t>8000万元，提供80多个就业岗位，同时</w:t>
      </w:r>
      <w:r>
        <w:rPr>
          <w:rFonts w:hint="eastAsia"/>
          <w:highlight w:val="none"/>
          <w:lang w:eastAsia="zh-CN"/>
        </w:rPr>
        <w:t>在</w:t>
      </w:r>
      <w:r>
        <w:rPr>
          <w:rFonts w:hint="eastAsia"/>
          <w:highlight w:val="none"/>
        </w:rPr>
        <w:t>颍上县创建国家级文明旅游示范区和颍上县秸秆禁烧工作作出积极贡献，较好地履行企业社会责任。</w:t>
      </w:r>
      <w:r>
        <w:rPr>
          <w:rFonts w:hint="eastAsia"/>
          <w:highlight w:val="none"/>
          <w:lang w:eastAsia="zh-CN"/>
        </w:rPr>
        <w:t>同时</w:t>
      </w:r>
      <w:r>
        <w:rPr>
          <w:rFonts w:hint="eastAsia"/>
          <w:highlight w:val="none"/>
          <w:lang w:val="en-US" w:eastAsia="zh-CN"/>
        </w:rPr>
        <w:t>为积极参与消费扶贫行动，帮助贫困人口增收脱贫，颍上公司还积极履行国有企业社会责任，响应扶贫政策号召捐款5万元，并在皖能大厦采购集团公司对口帮扶点农产品。</w:t>
      </w:r>
    </w:p>
    <w:p>
      <w:pPr>
        <w:pStyle w:val="34"/>
        <w:rPr>
          <w:rFonts w:hint="eastAsia"/>
          <w:highlight w:val="none"/>
          <w:lang w:val="en-US" w:eastAsia="zh-CN"/>
        </w:rPr>
      </w:pPr>
      <w:r>
        <w:rPr>
          <w:rFonts w:hint="eastAsia"/>
          <w:highlight w:val="none"/>
          <w:lang w:val="en-US" w:eastAsia="zh-CN"/>
        </w:rPr>
        <w:t>乾县公司抗击疫情勇于担当，冲锋在前践行使命。在疫情发生后，乾县公司积极履行国有企业社会责任，在物资短缺的情况下，公司多渠道筹集防疫物资，捐赠给乾县阳洪镇村民，为村民提供疫情防控物资保障，用行动回馈社会。同时，我公司党员王浩积极响应所在社区组织要求，疫情爆发后，参加社区志愿者行动，认真完成社区党组织安排的社区住宅人员信息排查工作，深入社区开展疫情防控排查工作，面对疫情，逆行而上，强化党员的使命与担当。</w:t>
      </w:r>
    </w:p>
    <w:p>
      <w:pPr>
        <w:pStyle w:val="34"/>
        <w:rPr>
          <w:rFonts w:hint="eastAsia"/>
          <w:highlight w:val="none"/>
          <w:lang w:val="en-US" w:eastAsia="zh-CN"/>
        </w:rPr>
      </w:pPr>
      <w:r>
        <w:rPr>
          <w:rFonts w:hint="eastAsia"/>
          <w:highlight w:val="none"/>
          <w:lang w:val="en-US" w:eastAsia="zh-CN"/>
        </w:rPr>
        <w:t>蚌埠公司为了更好地贯彻落实“两争两建”工作，进一步增强党员、入党积极分子志愿服务精神。蚌埠公司党支部配合所在地村委会，开展以“参与交通整治、消除安全隐患”为主题的党员志愿者活动。活动中志愿者们干劲十足，帮助疏导、指挥路口、学校门口的交通秩序，受到广大村民的赞许和肯定。</w:t>
      </w:r>
    </w:p>
    <w:p>
      <w:pPr>
        <w:pStyle w:val="34"/>
        <w:rPr>
          <w:highlight w:val="none"/>
        </w:rPr>
      </w:pPr>
      <w:r>
        <w:rPr>
          <w:rFonts w:hint="eastAsia"/>
          <w:highlight w:val="none"/>
        </w:rPr>
        <w:t>长丰公司为使广大公众了解生活垃圾焚烧发电项目建设背景，从而支持项目建设，积极依靠当地政府做好项目的宣传和组织公众参与活动。长丰公司通过让当地5</w:t>
      </w:r>
      <w:r>
        <w:rPr>
          <w:highlight w:val="none"/>
        </w:rPr>
        <w:t>0余</w:t>
      </w:r>
      <w:r>
        <w:rPr>
          <w:rFonts w:hint="eastAsia"/>
          <w:highlight w:val="none"/>
        </w:rPr>
        <w:t>户村民从事保洁、保卫等工作，解决了</w:t>
      </w:r>
      <w:r>
        <w:rPr>
          <w:highlight w:val="none"/>
        </w:rPr>
        <w:t>各类</w:t>
      </w:r>
      <w:r>
        <w:rPr>
          <w:rFonts w:hint="eastAsia"/>
          <w:highlight w:val="none"/>
        </w:rPr>
        <w:t>就业岗位1</w:t>
      </w:r>
      <w:r>
        <w:rPr>
          <w:highlight w:val="none"/>
        </w:rPr>
        <w:t>45个</w:t>
      </w:r>
      <w:r>
        <w:rPr>
          <w:rFonts w:hint="eastAsia"/>
          <w:highlight w:val="none"/>
        </w:rPr>
        <w:t>，以提高家庭收入，并积极接待社会各界人士到长丰公司进行实地考察和参观。</w:t>
      </w:r>
    </w:p>
    <w:p>
      <w:pPr>
        <w:pStyle w:val="34"/>
        <w:rPr>
          <w:highlight w:val="none"/>
        </w:rPr>
      </w:pPr>
    </w:p>
    <w:tbl>
      <w:tblPr>
        <w:tblStyle w:val="19"/>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shd w:val="clear" w:color="auto" w:fill="auto"/>
          </w:tcPr>
          <w:p>
            <w:pPr>
              <w:rPr>
                <w:rFonts w:ascii="黑体" w:hAnsi="黑体" w:eastAsia="黑体"/>
                <w:b/>
                <w:bCs/>
                <w:sz w:val="18"/>
                <w:szCs w:val="18"/>
                <w:highlight w:val="none"/>
              </w:rPr>
            </w:pPr>
            <w:r>
              <w:rPr>
                <w:rFonts w:ascii="黑体" w:hAnsi="黑体" w:eastAsia="黑体"/>
                <w:bCs/>
                <w:sz w:val="36"/>
                <w:szCs w:val="36"/>
              </w:rPr>
              <w:drawing>
                <wp:anchor distT="0" distB="0" distL="114300" distR="114300" simplePos="0" relativeHeight="251670528" behindDoc="0" locked="0" layoutInCell="1" allowOverlap="1">
                  <wp:simplePos x="0" y="0"/>
                  <wp:positionH relativeFrom="margin">
                    <wp:posOffset>22225</wp:posOffset>
                  </wp:positionH>
                  <wp:positionV relativeFrom="margin">
                    <wp:posOffset>18415</wp:posOffset>
                  </wp:positionV>
                  <wp:extent cx="2520315" cy="1979930"/>
                  <wp:effectExtent l="0" t="0" r="13335" b="1270"/>
                  <wp:wrapSquare wrapText="bothSides"/>
                  <wp:docPr id="85" name="图片 85" descr="G:\社会责任报告\2020年照片\BA4712F0B3D605EC722373745C350D87.png"/>
                  <wp:cNvGraphicFramePr/>
                  <a:graphic xmlns:a="http://schemas.openxmlformats.org/drawingml/2006/main">
                    <a:graphicData uri="http://schemas.openxmlformats.org/drawingml/2006/picture">
                      <pic:pic xmlns:pic="http://schemas.openxmlformats.org/drawingml/2006/picture">
                        <pic:nvPicPr>
                          <pic:cNvPr id="85" name="图片 85" descr="G:\社会责任报告\2020年照片\BA4712F0B3D605EC722373745C350D87.png"/>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520315" cy="1979930"/>
                          </a:xfrm>
                          <a:prstGeom prst="rect">
                            <a:avLst/>
                          </a:prstGeom>
                          <a:noFill/>
                          <a:ln>
                            <a:noFill/>
                          </a:ln>
                        </pic:spPr>
                      </pic:pic>
                    </a:graphicData>
                  </a:graphic>
                </wp:anchor>
              </w:drawing>
            </w:r>
          </w:p>
        </w:tc>
        <w:tc>
          <w:tcPr>
            <w:tcW w:w="4264" w:type="dxa"/>
            <w:shd w:val="clear" w:color="auto" w:fill="auto"/>
          </w:tcPr>
          <w:p>
            <w:pPr>
              <w:rPr>
                <w:rFonts w:ascii="黑体" w:hAnsi="黑体" w:eastAsia="黑体"/>
                <w:b/>
                <w:bCs/>
                <w:sz w:val="18"/>
                <w:szCs w:val="18"/>
                <w:highlight w:val="none"/>
              </w:rPr>
            </w:pPr>
            <w:r>
              <w:rPr>
                <w:rFonts w:hint="eastAsia" w:ascii="仿宋_GB2312" w:hAnsi="仿宋_GB2312" w:eastAsia="仿宋_GB2312" w:cs="仿宋_GB2312"/>
                <w:b w:val="0"/>
                <w:bCs w:val="0"/>
                <w:sz w:val="32"/>
                <w:szCs w:val="32"/>
                <w:lang w:val="en-US" w:eastAsia="zh-CN"/>
              </w:rPr>
              <w:drawing>
                <wp:anchor distT="0" distB="0" distL="114300" distR="114300" simplePos="0" relativeHeight="251671552" behindDoc="1" locked="0" layoutInCell="1" allowOverlap="1">
                  <wp:simplePos x="0" y="0"/>
                  <wp:positionH relativeFrom="column">
                    <wp:posOffset>-7620</wp:posOffset>
                  </wp:positionH>
                  <wp:positionV relativeFrom="paragraph">
                    <wp:posOffset>22225</wp:posOffset>
                  </wp:positionV>
                  <wp:extent cx="2520315" cy="1979930"/>
                  <wp:effectExtent l="0" t="0" r="32385" b="1270"/>
                  <wp:wrapTight wrapText="bothSides">
                    <wp:wrapPolygon>
                      <wp:start x="0" y="0"/>
                      <wp:lineTo x="0" y="21406"/>
                      <wp:lineTo x="21388" y="21406"/>
                      <wp:lineTo x="21388" y="0"/>
                      <wp:lineTo x="0" y="0"/>
                    </wp:wrapPolygon>
                  </wp:wrapTight>
                  <wp:docPr id="86" name="图片 86" descr="IMG_256"/>
                  <wp:cNvGraphicFramePr/>
                  <a:graphic xmlns:a="http://schemas.openxmlformats.org/drawingml/2006/main">
                    <a:graphicData uri="http://schemas.openxmlformats.org/drawingml/2006/picture">
                      <pic:pic xmlns:pic="http://schemas.openxmlformats.org/drawingml/2006/picture">
                        <pic:nvPicPr>
                          <pic:cNvPr id="86" name="图片 86" descr="IMG_256"/>
                          <pic:cNvPicPr/>
                        </pic:nvPicPr>
                        <pic:blipFill>
                          <a:blip r:embed="rId51"/>
                          <a:stretch>
                            <a:fillRect/>
                          </a:stretch>
                        </pic:blipFill>
                        <pic:spPr>
                          <a:xfrm>
                            <a:off x="0" y="0"/>
                            <a:ext cx="2520315" cy="1979930"/>
                          </a:xfrm>
                          <a:prstGeom prst="rect">
                            <a:avLst/>
                          </a:prstGeom>
                          <a:noFill/>
                          <a:ln w="9525">
                            <a:noFill/>
                          </a:ln>
                        </pic:spPr>
                      </pic:pic>
                    </a:graphicData>
                  </a:graphic>
                </wp:anchor>
              </w:drawing>
            </w:r>
          </w:p>
        </w:tc>
      </w:tr>
      <w:tr>
        <w:tblPrEx>
          <w:tblCellMar>
            <w:top w:w="0" w:type="dxa"/>
            <w:left w:w="108" w:type="dxa"/>
            <w:bottom w:w="0" w:type="dxa"/>
            <w:right w:w="108" w:type="dxa"/>
          </w:tblCellMar>
        </w:tblPrEx>
        <w:tc>
          <w:tcPr>
            <w:tcW w:w="4264" w:type="dxa"/>
            <w:shd w:val="clear" w:color="auto" w:fill="auto"/>
          </w:tcPr>
          <w:p>
            <w:pPr>
              <w:pStyle w:val="35"/>
              <w:rPr>
                <w:rFonts w:hint="eastAsia" w:eastAsia="仿宋"/>
                <w:highlight w:val="none"/>
                <w:lang w:eastAsia="zh-CN"/>
              </w:rPr>
            </w:pPr>
            <w:r>
              <w:rPr>
                <w:rFonts w:hint="eastAsia"/>
                <w:highlight w:val="none"/>
              </w:rPr>
              <w:t>图</w:t>
            </w:r>
            <w:r>
              <w:rPr>
                <w:rFonts w:hint="eastAsia"/>
                <w:highlight w:val="none"/>
                <w:lang w:val="en-US" w:eastAsia="zh-CN"/>
              </w:rPr>
              <w:t>44</w:t>
            </w:r>
            <w:r>
              <w:rPr>
                <w:highlight w:val="none"/>
              </w:rPr>
              <w:t xml:space="preserve"> </w:t>
            </w:r>
            <w:r>
              <w:rPr>
                <w:rFonts w:hint="eastAsia"/>
                <w:highlight w:val="none"/>
                <w:lang w:eastAsia="zh-CN"/>
              </w:rPr>
              <w:t>乾县公司捐献防疫物资</w:t>
            </w:r>
          </w:p>
        </w:tc>
        <w:tc>
          <w:tcPr>
            <w:tcW w:w="4264" w:type="dxa"/>
            <w:shd w:val="clear" w:color="auto" w:fill="auto"/>
          </w:tcPr>
          <w:p>
            <w:pPr>
              <w:pStyle w:val="35"/>
              <w:rPr>
                <w:highlight w:val="none"/>
              </w:rPr>
            </w:pPr>
            <w:r>
              <w:rPr>
                <w:rFonts w:hint="eastAsia"/>
                <w:highlight w:val="none"/>
              </w:rPr>
              <w:t>图</w:t>
            </w:r>
            <w:r>
              <w:rPr>
                <w:rFonts w:hint="eastAsia"/>
                <w:highlight w:val="none"/>
                <w:lang w:val="en-US" w:eastAsia="zh-CN"/>
              </w:rPr>
              <w:t>45</w:t>
            </w:r>
            <w:r>
              <w:rPr>
                <w:highlight w:val="none"/>
              </w:rPr>
              <w:t xml:space="preserve"> </w:t>
            </w:r>
            <w:r>
              <w:rPr>
                <w:rFonts w:hint="eastAsia"/>
                <w:highlight w:val="none"/>
              </w:rPr>
              <w:t>临泉公司慰问临泉县消防大队</w:t>
            </w:r>
          </w:p>
        </w:tc>
      </w:tr>
    </w:tbl>
    <w:p>
      <w:pPr>
        <w:rPr>
          <w:rFonts w:hint="eastAsia"/>
          <w:highlight w:val="none"/>
        </w:rPr>
        <w:sectPr>
          <w:pgSz w:w="11906" w:h="16838"/>
          <w:pgMar w:top="1440" w:right="1797" w:bottom="1440" w:left="1797" w:header="851" w:footer="992" w:gutter="0"/>
          <w:cols w:space="425" w:num="1"/>
          <w:docGrid w:linePitch="312" w:charSpace="0"/>
        </w:sectPr>
      </w:pPr>
      <w:bookmarkStart w:id="61" w:name="_Toc32933567"/>
      <w:bookmarkStart w:id="62" w:name="_Toc32950345"/>
    </w:p>
    <w:p>
      <w:pPr>
        <w:pStyle w:val="3"/>
        <w:spacing w:before="240" w:after="240"/>
        <w:rPr>
          <w:highlight w:val="none"/>
        </w:rPr>
      </w:pPr>
      <w:bookmarkStart w:id="63" w:name="_Toc33176301"/>
      <w:r>
        <w:rPr>
          <w:rFonts w:hint="eastAsia"/>
          <w:highlight w:val="none"/>
        </w:rPr>
        <w:t>结语</w:t>
      </w:r>
      <w:bookmarkEnd w:id="61"/>
      <w:bookmarkEnd w:id="62"/>
      <w:bookmarkEnd w:id="63"/>
    </w:p>
    <w:p>
      <w:pPr>
        <w:pStyle w:val="34"/>
        <w:rPr>
          <w:highlight w:val="none"/>
        </w:rPr>
      </w:pPr>
      <w:r>
        <w:rPr>
          <w:rFonts w:hint="eastAsia"/>
          <w:highlight w:val="none"/>
        </w:rPr>
        <w:t>环境就是民生，青山就是美丽，蓝天也是幸福。要像保护眼睛一样保护生态环境，像对待生命一样对待生态环境。环保发电公司积极响应习近平主席“蓝天保卫战”行动的号召，齐心协力推进大气污染综合治理。坚持绿色发展，大力推进节能减排，切实保护生态环境，以实际行动贯彻落实十九大精神。未来环保发电公司将积极参与和开展公益活动，积极参与救灾、扶贫等活动，为安徽省的民生和经济做贡献。在未来全面推进创新发展、协调发展、绿色发展、开放发展、共享发展，确保全面建成小康社会的历史伟业中，环保发电公司将以更加优异的成绩谱写社会责任的新诗篇。</w:t>
      </w:r>
    </w:p>
    <w:p>
      <w:pPr>
        <w:pStyle w:val="34"/>
        <w:rPr>
          <w:highlight w:val="none"/>
        </w:rPr>
      </w:pPr>
    </w:p>
    <w:p>
      <w:pPr>
        <w:pStyle w:val="34"/>
        <w:rPr>
          <w:highlight w:val="none"/>
        </w:rPr>
      </w:pPr>
    </w:p>
    <w:p>
      <w:pPr>
        <w:pStyle w:val="34"/>
        <w:rPr>
          <w:highlight w:val="none"/>
        </w:rPr>
      </w:pPr>
    </w:p>
    <w:p>
      <w:pPr>
        <w:pStyle w:val="34"/>
        <w:rPr>
          <w:highlight w:val="none"/>
        </w:rPr>
      </w:pPr>
    </w:p>
    <w:p>
      <w:pPr>
        <w:pStyle w:val="34"/>
        <w:ind w:firstLine="4844" w:firstLineChars="1730"/>
        <w:jc w:val="center"/>
        <w:outlineLvl w:val="0"/>
        <w:rPr>
          <w:highlight w:val="none"/>
        </w:rPr>
      </w:pPr>
      <w:r>
        <w:rPr>
          <w:rFonts w:hint="eastAsia"/>
          <w:highlight w:val="none"/>
        </w:rPr>
        <w:t>安徽皖能环保发电有限公司</w:t>
      </w:r>
    </w:p>
    <w:p>
      <w:pPr>
        <w:pStyle w:val="34"/>
        <w:ind w:firstLine="4844" w:firstLineChars="1730"/>
        <w:jc w:val="center"/>
        <w:outlineLvl w:val="0"/>
        <w:rPr>
          <w:highlight w:val="none"/>
        </w:rPr>
      </w:pPr>
      <w:r>
        <w:rPr>
          <w:rFonts w:hint="eastAsia"/>
          <w:highlight w:val="none"/>
        </w:rPr>
        <w:t>20</w:t>
      </w:r>
      <w:r>
        <w:rPr>
          <w:rFonts w:hint="eastAsia"/>
          <w:highlight w:val="none"/>
          <w:lang w:val="en-US" w:eastAsia="zh-CN"/>
        </w:rPr>
        <w:t>21</w:t>
      </w:r>
      <w:r>
        <w:rPr>
          <w:rFonts w:hint="eastAsia"/>
          <w:highlight w:val="none"/>
        </w:rPr>
        <w:t>年</w:t>
      </w:r>
      <w:r>
        <w:rPr>
          <w:rFonts w:hint="eastAsia"/>
          <w:highlight w:val="none"/>
          <w:lang w:val="en-US" w:eastAsia="zh-CN"/>
        </w:rPr>
        <w:t>1</w:t>
      </w:r>
      <w:r>
        <w:rPr>
          <w:rFonts w:hint="eastAsia"/>
          <w:highlight w:val="none"/>
        </w:rPr>
        <w:t>月</w:t>
      </w:r>
    </w:p>
    <w:sectPr>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2</w:t>
    </w:r>
    <w:r>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rPr>
      <w:fldChar w:fldCharType="begin"/>
    </w:r>
    <w:r>
      <w:rPr>
        <w:lang w:val="zh-CN"/>
      </w:rPr>
      <w:instrText xml:space="preserve">PAGE   \* MERGEFORMAT</w:instrText>
    </w:r>
    <w:r>
      <w:rPr>
        <w:lang w:val="zh-CN"/>
      </w:rPr>
      <w:fldChar w:fldCharType="separate"/>
    </w:r>
    <w:r>
      <w:rPr>
        <w:lang w:val="zh-CN"/>
      </w:rPr>
      <w:t>2</w:t>
    </w:r>
    <w:r>
      <w:rPr>
        <w:lang w:val="zh-CN"/>
      </w:rPr>
      <w:fldChar w:fldCharType="end"/>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7408CD"/>
    <w:multiLevelType w:val="multilevel"/>
    <w:tmpl w:val="307408CD"/>
    <w:lvl w:ilvl="0" w:tentative="0">
      <w:start w:val="1"/>
      <w:numFmt w:val="chineseCountingThousand"/>
      <w:pStyle w:val="3"/>
      <w:suff w:val="nothing"/>
      <w:lvlText w:val="%1、"/>
      <w:lvlJc w:val="left"/>
      <w:pPr>
        <w:ind w:left="0" w:firstLine="0"/>
      </w:pPr>
      <w:rPr>
        <w:rFonts w:hint="eastAsia"/>
        <w:lang w:val="en-US"/>
      </w:rPr>
    </w:lvl>
    <w:lvl w:ilvl="1" w:tentative="0">
      <w:start w:val="1"/>
      <w:numFmt w:val="chineseCountingThousand"/>
      <w:pStyle w:val="4"/>
      <w:suff w:val="nothing"/>
      <w:lvlText w:val="（%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210"/>
    <w:rsid w:val="00010CD9"/>
    <w:rsid w:val="00011C31"/>
    <w:rsid w:val="00012703"/>
    <w:rsid w:val="00012896"/>
    <w:rsid w:val="0001320E"/>
    <w:rsid w:val="00020B9C"/>
    <w:rsid w:val="000237C1"/>
    <w:rsid w:val="0002415B"/>
    <w:rsid w:val="00024BA0"/>
    <w:rsid w:val="00025DBD"/>
    <w:rsid w:val="000261D7"/>
    <w:rsid w:val="00026CAD"/>
    <w:rsid w:val="00031024"/>
    <w:rsid w:val="00032A63"/>
    <w:rsid w:val="00033671"/>
    <w:rsid w:val="00033C23"/>
    <w:rsid w:val="00034685"/>
    <w:rsid w:val="0003518B"/>
    <w:rsid w:val="00036CBC"/>
    <w:rsid w:val="0004440C"/>
    <w:rsid w:val="00047D96"/>
    <w:rsid w:val="00053F6E"/>
    <w:rsid w:val="00055138"/>
    <w:rsid w:val="0006046E"/>
    <w:rsid w:val="00060A54"/>
    <w:rsid w:val="00071FF2"/>
    <w:rsid w:val="000736C4"/>
    <w:rsid w:val="0007502B"/>
    <w:rsid w:val="000765E6"/>
    <w:rsid w:val="000770EF"/>
    <w:rsid w:val="00083D66"/>
    <w:rsid w:val="00085D5E"/>
    <w:rsid w:val="000A2ABB"/>
    <w:rsid w:val="000A35FD"/>
    <w:rsid w:val="000A7E2F"/>
    <w:rsid w:val="000B5B6E"/>
    <w:rsid w:val="000C1863"/>
    <w:rsid w:val="000D1A55"/>
    <w:rsid w:val="000D3530"/>
    <w:rsid w:val="000D7EBB"/>
    <w:rsid w:val="000E155D"/>
    <w:rsid w:val="000E15B3"/>
    <w:rsid w:val="000E2B4E"/>
    <w:rsid w:val="000E31A9"/>
    <w:rsid w:val="000E57F4"/>
    <w:rsid w:val="000E5932"/>
    <w:rsid w:val="000E773A"/>
    <w:rsid w:val="000F0014"/>
    <w:rsid w:val="00100676"/>
    <w:rsid w:val="001041F6"/>
    <w:rsid w:val="0010725F"/>
    <w:rsid w:val="0010774B"/>
    <w:rsid w:val="00107EF6"/>
    <w:rsid w:val="00111544"/>
    <w:rsid w:val="001143F6"/>
    <w:rsid w:val="0011759E"/>
    <w:rsid w:val="00120913"/>
    <w:rsid w:val="001249F3"/>
    <w:rsid w:val="0013263A"/>
    <w:rsid w:val="00132BC8"/>
    <w:rsid w:val="0013358F"/>
    <w:rsid w:val="00151EE0"/>
    <w:rsid w:val="00161EB2"/>
    <w:rsid w:val="00164AC8"/>
    <w:rsid w:val="001663DC"/>
    <w:rsid w:val="00170780"/>
    <w:rsid w:val="00170C99"/>
    <w:rsid w:val="0017430E"/>
    <w:rsid w:val="00180F3D"/>
    <w:rsid w:val="00187FBA"/>
    <w:rsid w:val="00195507"/>
    <w:rsid w:val="001A5616"/>
    <w:rsid w:val="001A728E"/>
    <w:rsid w:val="001B58FC"/>
    <w:rsid w:val="001C74E1"/>
    <w:rsid w:val="001D4EBD"/>
    <w:rsid w:val="001D5CB9"/>
    <w:rsid w:val="001E2249"/>
    <w:rsid w:val="001F28E8"/>
    <w:rsid w:val="001F4CD6"/>
    <w:rsid w:val="001F6093"/>
    <w:rsid w:val="001F6C38"/>
    <w:rsid w:val="00223C34"/>
    <w:rsid w:val="00234D53"/>
    <w:rsid w:val="0023610C"/>
    <w:rsid w:val="00236923"/>
    <w:rsid w:val="00236F1D"/>
    <w:rsid w:val="0024188D"/>
    <w:rsid w:val="00243237"/>
    <w:rsid w:val="00243891"/>
    <w:rsid w:val="00246ED8"/>
    <w:rsid w:val="00254E88"/>
    <w:rsid w:val="002562C1"/>
    <w:rsid w:val="00257ED3"/>
    <w:rsid w:val="00263A65"/>
    <w:rsid w:val="00265CB5"/>
    <w:rsid w:val="00272F88"/>
    <w:rsid w:val="0027789F"/>
    <w:rsid w:val="00286E57"/>
    <w:rsid w:val="00287243"/>
    <w:rsid w:val="002900F4"/>
    <w:rsid w:val="00296165"/>
    <w:rsid w:val="00296755"/>
    <w:rsid w:val="002A09F9"/>
    <w:rsid w:val="002A0B31"/>
    <w:rsid w:val="002A2396"/>
    <w:rsid w:val="002A3818"/>
    <w:rsid w:val="002A5340"/>
    <w:rsid w:val="002A5969"/>
    <w:rsid w:val="002A787B"/>
    <w:rsid w:val="002B2383"/>
    <w:rsid w:val="002B46BD"/>
    <w:rsid w:val="002B49EA"/>
    <w:rsid w:val="002B6624"/>
    <w:rsid w:val="002B6729"/>
    <w:rsid w:val="002C1B3B"/>
    <w:rsid w:val="002C2A83"/>
    <w:rsid w:val="002C45B1"/>
    <w:rsid w:val="002D4CF7"/>
    <w:rsid w:val="002D5DC2"/>
    <w:rsid w:val="002D636A"/>
    <w:rsid w:val="002D7CCA"/>
    <w:rsid w:val="002F0281"/>
    <w:rsid w:val="002F24AE"/>
    <w:rsid w:val="002F3328"/>
    <w:rsid w:val="002F33D0"/>
    <w:rsid w:val="00303C4B"/>
    <w:rsid w:val="003048AE"/>
    <w:rsid w:val="0030597F"/>
    <w:rsid w:val="0030786A"/>
    <w:rsid w:val="00317ADF"/>
    <w:rsid w:val="0032085D"/>
    <w:rsid w:val="00326122"/>
    <w:rsid w:val="0032685A"/>
    <w:rsid w:val="00327947"/>
    <w:rsid w:val="00331AC6"/>
    <w:rsid w:val="00335A41"/>
    <w:rsid w:val="0034223A"/>
    <w:rsid w:val="00342B9F"/>
    <w:rsid w:val="00343A1C"/>
    <w:rsid w:val="00343F70"/>
    <w:rsid w:val="00347811"/>
    <w:rsid w:val="00351CD8"/>
    <w:rsid w:val="00355415"/>
    <w:rsid w:val="00355CC0"/>
    <w:rsid w:val="00356FDA"/>
    <w:rsid w:val="00361E21"/>
    <w:rsid w:val="00366573"/>
    <w:rsid w:val="00367F52"/>
    <w:rsid w:val="00370509"/>
    <w:rsid w:val="0037603A"/>
    <w:rsid w:val="00377BD5"/>
    <w:rsid w:val="00377EAF"/>
    <w:rsid w:val="00383DEC"/>
    <w:rsid w:val="00387372"/>
    <w:rsid w:val="003877B3"/>
    <w:rsid w:val="00390766"/>
    <w:rsid w:val="003913AC"/>
    <w:rsid w:val="00393CFE"/>
    <w:rsid w:val="00397A50"/>
    <w:rsid w:val="00397F23"/>
    <w:rsid w:val="003A18C1"/>
    <w:rsid w:val="003A5C63"/>
    <w:rsid w:val="003A5C6D"/>
    <w:rsid w:val="003B13CE"/>
    <w:rsid w:val="003B5E47"/>
    <w:rsid w:val="003C4522"/>
    <w:rsid w:val="003C4660"/>
    <w:rsid w:val="003D0CC3"/>
    <w:rsid w:val="003D14AF"/>
    <w:rsid w:val="003E04D4"/>
    <w:rsid w:val="003E55A8"/>
    <w:rsid w:val="003F0C90"/>
    <w:rsid w:val="003F33C0"/>
    <w:rsid w:val="003F7ED3"/>
    <w:rsid w:val="00403A69"/>
    <w:rsid w:val="0042673D"/>
    <w:rsid w:val="00433CD8"/>
    <w:rsid w:val="00437328"/>
    <w:rsid w:val="00442E90"/>
    <w:rsid w:val="0044371C"/>
    <w:rsid w:val="00444219"/>
    <w:rsid w:val="00445DCD"/>
    <w:rsid w:val="00445E50"/>
    <w:rsid w:val="00451806"/>
    <w:rsid w:val="00451D93"/>
    <w:rsid w:val="00460AC9"/>
    <w:rsid w:val="00460E08"/>
    <w:rsid w:val="004651E1"/>
    <w:rsid w:val="00467858"/>
    <w:rsid w:val="00470EEE"/>
    <w:rsid w:val="00474215"/>
    <w:rsid w:val="00477748"/>
    <w:rsid w:val="004779EA"/>
    <w:rsid w:val="004812A4"/>
    <w:rsid w:val="00482F2D"/>
    <w:rsid w:val="00483ACE"/>
    <w:rsid w:val="00485376"/>
    <w:rsid w:val="00487F37"/>
    <w:rsid w:val="00491300"/>
    <w:rsid w:val="00494FE1"/>
    <w:rsid w:val="00497C96"/>
    <w:rsid w:val="004A0464"/>
    <w:rsid w:val="004A0AAA"/>
    <w:rsid w:val="004A368F"/>
    <w:rsid w:val="004B2CA8"/>
    <w:rsid w:val="004B3695"/>
    <w:rsid w:val="004B5B28"/>
    <w:rsid w:val="004B77F4"/>
    <w:rsid w:val="004C141F"/>
    <w:rsid w:val="004C2198"/>
    <w:rsid w:val="004C2B0A"/>
    <w:rsid w:val="004C4FE1"/>
    <w:rsid w:val="004C5512"/>
    <w:rsid w:val="004E0435"/>
    <w:rsid w:val="004E291C"/>
    <w:rsid w:val="004E2F0C"/>
    <w:rsid w:val="004E4B44"/>
    <w:rsid w:val="004E5962"/>
    <w:rsid w:val="004F1424"/>
    <w:rsid w:val="004F60CD"/>
    <w:rsid w:val="00500F75"/>
    <w:rsid w:val="00502191"/>
    <w:rsid w:val="005049E6"/>
    <w:rsid w:val="00505655"/>
    <w:rsid w:val="0051180C"/>
    <w:rsid w:val="00515371"/>
    <w:rsid w:val="00515E71"/>
    <w:rsid w:val="00516C87"/>
    <w:rsid w:val="0052026A"/>
    <w:rsid w:val="0052123A"/>
    <w:rsid w:val="00522A10"/>
    <w:rsid w:val="005313F3"/>
    <w:rsid w:val="00551811"/>
    <w:rsid w:val="00560226"/>
    <w:rsid w:val="005605A8"/>
    <w:rsid w:val="00561123"/>
    <w:rsid w:val="00567136"/>
    <w:rsid w:val="00567231"/>
    <w:rsid w:val="00567E24"/>
    <w:rsid w:val="0057086D"/>
    <w:rsid w:val="0057434E"/>
    <w:rsid w:val="005746CB"/>
    <w:rsid w:val="005756F1"/>
    <w:rsid w:val="00576DAB"/>
    <w:rsid w:val="005805D9"/>
    <w:rsid w:val="0058580B"/>
    <w:rsid w:val="005865FF"/>
    <w:rsid w:val="00593306"/>
    <w:rsid w:val="00596E17"/>
    <w:rsid w:val="005A0AF1"/>
    <w:rsid w:val="005A186F"/>
    <w:rsid w:val="005A574E"/>
    <w:rsid w:val="005A58FF"/>
    <w:rsid w:val="005B153B"/>
    <w:rsid w:val="005B1F70"/>
    <w:rsid w:val="005B243B"/>
    <w:rsid w:val="005B5181"/>
    <w:rsid w:val="005B6054"/>
    <w:rsid w:val="005B79B4"/>
    <w:rsid w:val="005C129D"/>
    <w:rsid w:val="005C29B9"/>
    <w:rsid w:val="005C3365"/>
    <w:rsid w:val="005C59F9"/>
    <w:rsid w:val="005D6FFD"/>
    <w:rsid w:val="005E48D2"/>
    <w:rsid w:val="005E5056"/>
    <w:rsid w:val="005E545D"/>
    <w:rsid w:val="005F0870"/>
    <w:rsid w:val="005F4143"/>
    <w:rsid w:val="00603499"/>
    <w:rsid w:val="00604CBF"/>
    <w:rsid w:val="00605DB2"/>
    <w:rsid w:val="0061050D"/>
    <w:rsid w:val="00613EAA"/>
    <w:rsid w:val="006174E0"/>
    <w:rsid w:val="00617C54"/>
    <w:rsid w:val="0062071F"/>
    <w:rsid w:val="00627E32"/>
    <w:rsid w:val="00634746"/>
    <w:rsid w:val="00634D3D"/>
    <w:rsid w:val="00647117"/>
    <w:rsid w:val="00653F25"/>
    <w:rsid w:val="0066039F"/>
    <w:rsid w:val="00666EDF"/>
    <w:rsid w:val="0067364E"/>
    <w:rsid w:val="00673F09"/>
    <w:rsid w:val="006806FC"/>
    <w:rsid w:val="00684620"/>
    <w:rsid w:val="00684817"/>
    <w:rsid w:val="006908A2"/>
    <w:rsid w:val="00692538"/>
    <w:rsid w:val="00692EBE"/>
    <w:rsid w:val="006968B9"/>
    <w:rsid w:val="006A040D"/>
    <w:rsid w:val="006A13C2"/>
    <w:rsid w:val="006A2395"/>
    <w:rsid w:val="006A6CC8"/>
    <w:rsid w:val="006B4BCE"/>
    <w:rsid w:val="006B5279"/>
    <w:rsid w:val="006C248C"/>
    <w:rsid w:val="006D06A9"/>
    <w:rsid w:val="006D43E3"/>
    <w:rsid w:val="006D46C8"/>
    <w:rsid w:val="006D5737"/>
    <w:rsid w:val="006D5BB2"/>
    <w:rsid w:val="006E1745"/>
    <w:rsid w:val="006E27B0"/>
    <w:rsid w:val="006E33C0"/>
    <w:rsid w:val="006E508E"/>
    <w:rsid w:val="006F0D94"/>
    <w:rsid w:val="00702E7C"/>
    <w:rsid w:val="00705E90"/>
    <w:rsid w:val="0070712F"/>
    <w:rsid w:val="007120AF"/>
    <w:rsid w:val="007176F3"/>
    <w:rsid w:val="00721EFD"/>
    <w:rsid w:val="007325F2"/>
    <w:rsid w:val="007350F3"/>
    <w:rsid w:val="00740B91"/>
    <w:rsid w:val="00740E3A"/>
    <w:rsid w:val="00742B55"/>
    <w:rsid w:val="007444B8"/>
    <w:rsid w:val="007515C7"/>
    <w:rsid w:val="007543C7"/>
    <w:rsid w:val="00757830"/>
    <w:rsid w:val="00757FFC"/>
    <w:rsid w:val="00760D34"/>
    <w:rsid w:val="00762E3C"/>
    <w:rsid w:val="00764B48"/>
    <w:rsid w:val="00767D6B"/>
    <w:rsid w:val="00772345"/>
    <w:rsid w:val="00776698"/>
    <w:rsid w:val="00780AFF"/>
    <w:rsid w:val="00782284"/>
    <w:rsid w:val="00783F95"/>
    <w:rsid w:val="007A1870"/>
    <w:rsid w:val="007A1F35"/>
    <w:rsid w:val="007A25BB"/>
    <w:rsid w:val="007B0703"/>
    <w:rsid w:val="007B20ED"/>
    <w:rsid w:val="007B3B17"/>
    <w:rsid w:val="007B54DB"/>
    <w:rsid w:val="007B5EB3"/>
    <w:rsid w:val="007B663E"/>
    <w:rsid w:val="007C5E05"/>
    <w:rsid w:val="007C6536"/>
    <w:rsid w:val="007D567F"/>
    <w:rsid w:val="007D72E4"/>
    <w:rsid w:val="007F2685"/>
    <w:rsid w:val="007F3D7C"/>
    <w:rsid w:val="007F701C"/>
    <w:rsid w:val="007F7866"/>
    <w:rsid w:val="008048B7"/>
    <w:rsid w:val="00806B8A"/>
    <w:rsid w:val="00815BC5"/>
    <w:rsid w:val="008167D3"/>
    <w:rsid w:val="008260F7"/>
    <w:rsid w:val="0083137D"/>
    <w:rsid w:val="00832647"/>
    <w:rsid w:val="00833F3B"/>
    <w:rsid w:val="0083447A"/>
    <w:rsid w:val="00835DAE"/>
    <w:rsid w:val="00847CB7"/>
    <w:rsid w:val="00854D78"/>
    <w:rsid w:val="00861898"/>
    <w:rsid w:val="008628C3"/>
    <w:rsid w:val="00863D80"/>
    <w:rsid w:val="008715D9"/>
    <w:rsid w:val="008717F9"/>
    <w:rsid w:val="008760C2"/>
    <w:rsid w:val="00876F1F"/>
    <w:rsid w:val="008820A6"/>
    <w:rsid w:val="00890C95"/>
    <w:rsid w:val="008918AB"/>
    <w:rsid w:val="00892395"/>
    <w:rsid w:val="008961CD"/>
    <w:rsid w:val="008A498C"/>
    <w:rsid w:val="008A7EA0"/>
    <w:rsid w:val="008B0D97"/>
    <w:rsid w:val="008B0F61"/>
    <w:rsid w:val="008B2826"/>
    <w:rsid w:val="008B54B3"/>
    <w:rsid w:val="008B6611"/>
    <w:rsid w:val="008C1E99"/>
    <w:rsid w:val="008C2C29"/>
    <w:rsid w:val="008D03CC"/>
    <w:rsid w:val="008D2A84"/>
    <w:rsid w:val="008D5210"/>
    <w:rsid w:val="008D5421"/>
    <w:rsid w:val="008D5508"/>
    <w:rsid w:val="008D7A65"/>
    <w:rsid w:val="008E1882"/>
    <w:rsid w:val="008E2683"/>
    <w:rsid w:val="008E2A33"/>
    <w:rsid w:val="008E2A6D"/>
    <w:rsid w:val="008E3139"/>
    <w:rsid w:val="008E5CE4"/>
    <w:rsid w:val="008F06D5"/>
    <w:rsid w:val="008F2A4E"/>
    <w:rsid w:val="0090220C"/>
    <w:rsid w:val="0090251F"/>
    <w:rsid w:val="00904986"/>
    <w:rsid w:val="00907EC4"/>
    <w:rsid w:val="00916CE5"/>
    <w:rsid w:val="009244BC"/>
    <w:rsid w:val="00926C8B"/>
    <w:rsid w:val="00926DD9"/>
    <w:rsid w:val="00942C3D"/>
    <w:rsid w:val="00944B4D"/>
    <w:rsid w:val="0094585A"/>
    <w:rsid w:val="00945E0B"/>
    <w:rsid w:val="009512CA"/>
    <w:rsid w:val="009537DB"/>
    <w:rsid w:val="00954AB2"/>
    <w:rsid w:val="00955458"/>
    <w:rsid w:val="0096111E"/>
    <w:rsid w:val="009673D4"/>
    <w:rsid w:val="009731AB"/>
    <w:rsid w:val="00976EDF"/>
    <w:rsid w:val="00985A82"/>
    <w:rsid w:val="00987B82"/>
    <w:rsid w:val="009900F9"/>
    <w:rsid w:val="00990105"/>
    <w:rsid w:val="009A11D6"/>
    <w:rsid w:val="009A22D5"/>
    <w:rsid w:val="009A339E"/>
    <w:rsid w:val="009B101B"/>
    <w:rsid w:val="009B21D1"/>
    <w:rsid w:val="009B3D0F"/>
    <w:rsid w:val="009B740D"/>
    <w:rsid w:val="009C009D"/>
    <w:rsid w:val="009C1031"/>
    <w:rsid w:val="009C1E32"/>
    <w:rsid w:val="009D26B3"/>
    <w:rsid w:val="009D401A"/>
    <w:rsid w:val="009D7CAE"/>
    <w:rsid w:val="009E0244"/>
    <w:rsid w:val="009E046B"/>
    <w:rsid w:val="009E157B"/>
    <w:rsid w:val="009E3D9B"/>
    <w:rsid w:val="009E52D1"/>
    <w:rsid w:val="009E5859"/>
    <w:rsid w:val="009F0238"/>
    <w:rsid w:val="009F0363"/>
    <w:rsid w:val="009F55C5"/>
    <w:rsid w:val="00A00E43"/>
    <w:rsid w:val="00A01752"/>
    <w:rsid w:val="00A039FA"/>
    <w:rsid w:val="00A04A82"/>
    <w:rsid w:val="00A147A1"/>
    <w:rsid w:val="00A202DB"/>
    <w:rsid w:val="00A21CA2"/>
    <w:rsid w:val="00A41F0F"/>
    <w:rsid w:val="00A53F92"/>
    <w:rsid w:val="00A62669"/>
    <w:rsid w:val="00A657CD"/>
    <w:rsid w:val="00A673EE"/>
    <w:rsid w:val="00A773C9"/>
    <w:rsid w:val="00A816D6"/>
    <w:rsid w:val="00A84018"/>
    <w:rsid w:val="00A864C6"/>
    <w:rsid w:val="00A876FC"/>
    <w:rsid w:val="00A934F4"/>
    <w:rsid w:val="00A955CA"/>
    <w:rsid w:val="00A9624A"/>
    <w:rsid w:val="00AB6245"/>
    <w:rsid w:val="00AC30E1"/>
    <w:rsid w:val="00AD137F"/>
    <w:rsid w:val="00AE00EA"/>
    <w:rsid w:val="00AE0BDB"/>
    <w:rsid w:val="00AE0D3E"/>
    <w:rsid w:val="00AE12BE"/>
    <w:rsid w:val="00B01D28"/>
    <w:rsid w:val="00B07F04"/>
    <w:rsid w:val="00B13DF9"/>
    <w:rsid w:val="00B25E58"/>
    <w:rsid w:val="00B30A23"/>
    <w:rsid w:val="00B31EE9"/>
    <w:rsid w:val="00B352A3"/>
    <w:rsid w:val="00B352B9"/>
    <w:rsid w:val="00B411CD"/>
    <w:rsid w:val="00B45697"/>
    <w:rsid w:val="00B5250C"/>
    <w:rsid w:val="00B53C0E"/>
    <w:rsid w:val="00B53C7D"/>
    <w:rsid w:val="00B56287"/>
    <w:rsid w:val="00B65B95"/>
    <w:rsid w:val="00B70986"/>
    <w:rsid w:val="00B71187"/>
    <w:rsid w:val="00B72963"/>
    <w:rsid w:val="00B76127"/>
    <w:rsid w:val="00B76D26"/>
    <w:rsid w:val="00B95175"/>
    <w:rsid w:val="00B97F13"/>
    <w:rsid w:val="00BA5845"/>
    <w:rsid w:val="00BA58D1"/>
    <w:rsid w:val="00BA69DB"/>
    <w:rsid w:val="00BC0E91"/>
    <w:rsid w:val="00BC56C2"/>
    <w:rsid w:val="00BC6206"/>
    <w:rsid w:val="00BC7C11"/>
    <w:rsid w:val="00BD0309"/>
    <w:rsid w:val="00BE377C"/>
    <w:rsid w:val="00BF0737"/>
    <w:rsid w:val="00BF5382"/>
    <w:rsid w:val="00C00E9B"/>
    <w:rsid w:val="00C039AD"/>
    <w:rsid w:val="00C10849"/>
    <w:rsid w:val="00C10EC8"/>
    <w:rsid w:val="00C15E34"/>
    <w:rsid w:val="00C1668B"/>
    <w:rsid w:val="00C16C01"/>
    <w:rsid w:val="00C200A5"/>
    <w:rsid w:val="00C209F8"/>
    <w:rsid w:val="00C22550"/>
    <w:rsid w:val="00C30CF9"/>
    <w:rsid w:val="00C3551E"/>
    <w:rsid w:val="00C47736"/>
    <w:rsid w:val="00C5075D"/>
    <w:rsid w:val="00C51BA6"/>
    <w:rsid w:val="00C63647"/>
    <w:rsid w:val="00C662D7"/>
    <w:rsid w:val="00C679C4"/>
    <w:rsid w:val="00C724CC"/>
    <w:rsid w:val="00C74504"/>
    <w:rsid w:val="00C768FF"/>
    <w:rsid w:val="00C8262F"/>
    <w:rsid w:val="00C8596E"/>
    <w:rsid w:val="00C85E94"/>
    <w:rsid w:val="00C87051"/>
    <w:rsid w:val="00C9019A"/>
    <w:rsid w:val="00C914D3"/>
    <w:rsid w:val="00C91B60"/>
    <w:rsid w:val="00CA124E"/>
    <w:rsid w:val="00CA21C6"/>
    <w:rsid w:val="00CA5BAF"/>
    <w:rsid w:val="00CB048C"/>
    <w:rsid w:val="00CB239E"/>
    <w:rsid w:val="00CB4A94"/>
    <w:rsid w:val="00CC1CC8"/>
    <w:rsid w:val="00CC4FB1"/>
    <w:rsid w:val="00CC6AB5"/>
    <w:rsid w:val="00CD6289"/>
    <w:rsid w:val="00CD76F1"/>
    <w:rsid w:val="00CE051C"/>
    <w:rsid w:val="00CE0DF8"/>
    <w:rsid w:val="00CE61AF"/>
    <w:rsid w:val="00CF2DE8"/>
    <w:rsid w:val="00D03650"/>
    <w:rsid w:val="00D03CF3"/>
    <w:rsid w:val="00D073B4"/>
    <w:rsid w:val="00D10125"/>
    <w:rsid w:val="00D16B95"/>
    <w:rsid w:val="00D16CFD"/>
    <w:rsid w:val="00D2179B"/>
    <w:rsid w:val="00D23FDF"/>
    <w:rsid w:val="00D2495E"/>
    <w:rsid w:val="00D24AE6"/>
    <w:rsid w:val="00D25402"/>
    <w:rsid w:val="00D355B4"/>
    <w:rsid w:val="00D404F6"/>
    <w:rsid w:val="00D41A53"/>
    <w:rsid w:val="00D41AF9"/>
    <w:rsid w:val="00D4378B"/>
    <w:rsid w:val="00D4399E"/>
    <w:rsid w:val="00D44B7D"/>
    <w:rsid w:val="00D46BB3"/>
    <w:rsid w:val="00D55109"/>
    <w:rsid w:val="00D5773C"/>
    <w:rsid w:val="00D605F4"/>
    <w:rsid w:val="00D61B70"/>
    <w:rsid w:val="00D6266C"/>
    <w:rsid w:val="00D626BB"/>
    <w:rsid w:val="00D7106C"/>
    <w:rsid w:val="00D74004"/>
    <w:rsid w:val="00D74B8E"/>
    <w:rsid w:val="00D7632D"/>
    <w:rsid w:val="00D76AB8"/>
    <w:rsid w:val="00D85B9B"/>
    <w:rsid w:val="00D85D1D"/>
    <w:rsid w:val="00D96B99"/>
    <w:rsid w:val="00DA251E"/>
    <w:rsid w:val="00DA3817"/>
    <w:rsid w:val="00DA47FB"/>
    <w:rsid w:val="00DB2C47"/>
    <w:rsid w:val="00DB3895"/>
    <w:rsid w:val="00DB6079"/>
    <w:rsid w:val="00DB7E69"/>
    <w:rsid w:val="00DC2DDD"/>
    <w:rsid w:val="00DC2E72"/>
    <w:rsid w:val="00DC6B77"/>
    <w:rsid w:val="00DD3650"/>
    <w:rsid w:val="00DD3B51"/>
    <w:rsid w:val="00DD6646"/>
    <w:rsid w:val="00DD6F7F"/>
    <w:rsid w:val="00DE134C"/>
    <w:rsid w:val="00DE252F"/>
    <w:rsid w:val="00DE30A5"/>
    <w:rsid w:val="00DE53C2"/>
    <w:rsid w:val="00DF5D7A"/>
    <w:rsid w:val="00DF60A9"/>
    <w:rsid w:val="00DF7CB3"/>
    <w:rsid w:val="00E03F04"/>
    <w:rsid w:val="00E0745C"/>
    <w:rsid w:val="00E103CB"/>
    <w:rsid w:val="00E207E3"/>
    <w:rsid w:val="00E24860"/>
    <w:rsid w:val="00E25EFD"/>
    <w:rsid w:val="00E34B18"/>
    <w:rsid w:val="00E34D2F"/>
    <w:rsid w:val="00E403D4"/>
    <w:rsid w:val="00E42F79"/>
    <w:rsid w:val="00E51479"/>
    <w:rsid w:val="00E55E78"/>
    <w:rsid w:val="00E5703C"/>
    <w:rsid w:val="00E60473"/>
    <w:rsid w:val="00E61C64"/>
    <w:rsid w:val="00E622A5"/>
    <w:rsid w:val="00E64BDD"/>
    <w:rsid w:val="00E65273"/>
    <w:rsid w:val="00E677B3"/>
    <w:rsid w:val="00E67A24"/>
    <w:rsid w:val="00E75C48"/>
    <w:rsid w:val="00E77925"/>
    <w:rsid w:val="00E8158C"/>
    <w:rsid w:val="00E82DB7"/>
    <w:rsid w:val="00E97DC0"/>
    <w:rsid w:val="00EB2189"/>
    <w:rsid w:val="00EB3099"/>
    <w:rsid w:val="00EB7746"/>
    <w:rsid w:val="00ED4A88"/>
    <w:rsid w:val="00EE0574"/>
    <w:rsid w:val="00EE28DD"/>
    <w:rsid w:val="00EE458D"/>
    <w:rsid w:val="00EE686B"/>
    <w:rsid w:val="00EE6C4E"/>
    <w:rsid w:val="00EF1F54"/>
    <w:rsid w:val="00EF4265"/>
    <w:rsid w:val="00EF64A7"/>
    <w:rsid w:val="00F0211B"/>
    <w:rsid w:val="00F0559C"/>
    <w:rsid w:val="00F14331"/>
    <w:rsid w:val="00F1493B"/>
    <w:rsid w:val="00F15A4C"/>
    <w:rsid w:val="00F15E6B"/>
    <w:rsid w:val="00F206DD"/>
    <w:rsid w:val="00F223E5"/>
    <w:rsid w:val="00F229BF"/>
    <w:rsid w:val="00F243D6"/>
    <w:rsid w:val="00F26E4D"/>
    <w:rsid w:val="00F34C50"/>
    <w:rsid w:val="00F35259"/>
    <w:rsid w:val="00F37BBF"/>
    <w:rsid w:val="00F40AD2"/>
    <w:rsid w:val="00F515A3"/>
    <w:rsid w:val="00F543EB"/>
    <w:rsid w:val="00F553B6"/>
    <w:rsid w:val="00F57F2B"/>
    <w:rsid w:val="00F604C8"/>
    <w:rsid w:val="00F61349"/>
    <w:rsid w:val="00F67444"/>
    <w:rsid w:val="00F71A83"/>
    <w:rsid w:val="00F73828"/>
    <w:rsid w:val="00F747B2"/>
    <w:rsid w:val="00F76874"/>
    <w:rsid w:val="00F8122C"/>
    <w:rsid w:val="00F87057"/>
    <w:rsid w:val="00F95F53"/>
    <w:rsid w:val="00F978D5"/>
    <w:rsid w:val="00FB0A63"/>
    <w:rsid w:val="00FB609D"/>
    <w:rsid w:val="00FC0492"/>
    <w:rsid w:val="00FC0903"/>
    <w:rsid w:val="00FC3434"/>
    <w:rsid w:val="00FC4694"/>
    <w:rsid w:val="00FC47F1"/>
    <w:rsid w:val="00FD27F2"/>
    <w:rsid w:val="00FD3EDB"/>
    <w:rsid w:val="00FD4373"/>
    <w:rsid w:val="00FD6D2D"/>
    <w:rsid w:val="00FD6F3E"/>
    <w:rsid w:val="00FE004F"/>
    <w:rsid w:val="00FE0629"/>
    <w:rsid w:val="00FE076F"/>
    <w:rsid w:val="00FE0920"/>
    <w:rsid w:val="00FE6C06"/>
    <w:rsid w:val="00FF0AA0"/>
    <w:rsid w:val="00FF197E"/>
    <w:rsid w:val="00FF4B29"/>
    <w:rsid w:val="00FF6129"/>
    <w:rsid w:val="011B3D1D"/>
    <w:rsid w:val="03276120"/>
    <w:rsid w:val="03781D38"/>
    <w:rsid w:val="05024381"/>
    <w:rsid w:val="06446B0E"/>
    <w:rsid w:val="065A32A6"/>
    <w:rsid w:val="06AF52AA"/>
    <w:rsid w:val="07D620D5"/>
    <w:rsid w:val="0ADC2E11"/>
    <w:rsid w:val="0AF846D1"/>
    <w:rsid w:val="0C170E52"/>
    <w:rsid w:val="0C3E0B20"/>
    <w:rsid w:val="0C8D1DCE"/>
    <w:rsid w:val="0C95723F"/>
    <w:rsid w:val="0D981684"/>
    <w:rsid w:val="0E2D5532"/>
    <w:rsid w:val="0E5B4C6D"/>
    <w:rsid w:val="0E774554"/>
    <w:rsid w:val="0EFF3E0F"/>
    <w:rsid w:val="11586B19"/>
    <w:rsid w:val="116270DD"/>
    <w:rsid w:val="122E0E5E"/>
    <w:rsid w:val="128C584D"/>
    <w:rsid w:val="12B97B34"/>
    <w:rsid w:val="13DA68BA"/>
    <w:rsid w:val="158E0078"/>
    <w:rsid w:val="1907196B"/>
    <w:rsid w:val="1C551D7C"/>
    <w:rsid w:val="1D606FFB"/>
    <w:rsid w:val="1F9142C7"/>
    <w:rsid w:val="263F6D2D"/>
    <w:rsid w:val="26A650B3"/>
    <w:rsid w:val="29192856"/>
    <w:rsid w:val="292A54EC"/>
    <w:rsid w:val="2B1310E7"/>
    <w:rsid w:val="2BAD3D36"/>
    <w:rsid w:val="2C2C4D36"/>
    <w:rsid w:val="2CD1793E"/>
    <w:rsid w:val="2D0D390C"/>
    <w:rsid w:val="2D1F4E20"/>
    <w:rsid w:val="2D5D6730"/>
    <w:rsid w:val="30272505"/>
    <w:rsid w:val="32AD4ABD"/>
    <w:rsid w:val="35054BAC"/>
    <w:rsid w:val="361C0F3B"/>
    <w:rsid w:val="39215BC1"/>
    <w:rsid w:val="398A2FEC"/>
    <w:rsid w:val="3C2A4B1E"/>
    <w:rsid w:val="3D435668"/>
    <w:rsid w:val="44DA0E86"/>
    <w:rsid w:val="45190110"/>
    <w:rsid w:val="474063F1"/>
    <w:rsid w:val="48DE2DFE"/>
    <w:rsid w:val="4C067667"/>
    <w:rsid w:val="4CE60B2F"/>
    <w:rsid w:val="50916F68"/>
    <w:rsid w:val="50A80344"/>
    <w:rsid w:val="50DB44E0"/>
    <w:rsid w:val="51D7595D"/>
    <w:rsid w:val="544F4D16"/>
    <w:rsid w:val="594B68EF"/>
    <w:rsid w:val="5D174E08"/>
    <w:rsid w:val="5D7B7B82"/>
    <w:rsid w:val="5E4C669A"/>
    <w:rsid w:val="5FB359BF"/>
    <w:rsid w:val="606A2038"/>
    <w:rsid w:val="63E41060"/>
    <w:rsid w:val="651B7E4C"/>
    <w:rsid w:val="65C5549B"/>
    <w:rsid w:val="6822307E"/>
    <w:rsid w:val="68F9705A"/>
    <w:rsid w:val="69672E9F"/>
    <w:rsid w:val="6DC672D5"/>
    <w:rsid w:val="6E4C459A"/>
    <w:rsid w:val="6E9E5B4D"/>
    <w:rsid w:val="6FA97331"/>
    <w:rsid w:val="715866EF"/>
    <w:rsid w:val="74452418"/>
    <w:rsid w:val="74966609"/>
    <w:rsid w:val="75973956"/>
    <w:rsid w:val="760A0B6D"/>
    <w:rsid w:val="76E476BA"/>
    <w:rsid w:val="77D645D4"/>
    <w:rsid w:val="783B7E45"/>
    <w:rsid w:val="79B23579"/>
    <w:rsid w:val="79C873C6"/>
    <w:rsid w:val="7AD172A1"/>
    <w:rsid w:val="7C033A71"/>
    <w:rsid w:val="7CC362AB"/>
    <w:rsid w:val="7D7E7D53"/>
    <w:rsid w:val="7EA9663A"/>
    <w:rsid w:val="7EC56252"/>
    <w:rsid w:val="7F263B5A"/>
    <w:rsid w:val="7F2C56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28"/>
    <w:qFormat/>
    <w:uiPriority w:val="9"/>
    <w:pPr>
      <w:numPr>
        <w:ilvl w:val="0"/>
        <w:numId w:val="1"/>
      </w:numPr>
      <w:spacing w:before="100" w:beforeLines="100" w:after="100" w:afterLines="100"/>
      <w:outlineLvl w:val="0"/>
    </w:pPr>
    <w:rPr>
      <w:rFonts w:eastAsia="黑体"/>
      <w:bCs/>
      <w:kern w:val="44"/>
      <w:sz w:val="36"/>
      <w:szCs w:val="44"/>
    </w:rPr>
  </w:style>
  <w:style w:type="paragraph" w:styleId="4">
    <w:name w:val="heading 2"/>
    <w:basedOn w:val="1"/>
    <w:next w:val="1"/>
    <w:link w:val="29"/>
    <w:unhideWhenUsed/>
    <w:qFormat/>
    <w:uiPriority w:val="9"/>
    <w:pPr>
      <w:numPr>
        <w:ilvl w:val="1"/>
        <w:numId w:val="1"/>
      </w:numPr>
      <w:spacing w:before="100" w:beforeLines="100" w:after="100" w:afterLines="100"/>
      <w:outlineLvl w:val="1"/>
    </w:pPr>
    <w:rPr>
      <w:rFonts w:ascii="黑体" w:hAnsi="Cambria" w:eastAsia="黑体"/>
      <w:bCs/>
      <w:sz w:val="32"/>
      <w:szCs w:val="32"/>
    </w:rPr>
  </w:style>
  <w:style w:type="paragraph" w:styleId="5">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6">
    <w:name w:val="caption"/>
    <w:basedOn w:val="1"/>
    <w:next w:val="1"/>
    <w:link w:val="37"/>
    <w:unhideWhenUsed/>
    <w:qFormat/>
    <w:uiPriority w:val="35"/>
    <w:rPr>
      <w:rFonts w:ascii="Cambria" w:hAnsi="Cambria" w:eastAsia="黑体"/>
      <w:sz w:val="20"/>
      <w:szCs w:val="20"/>
    </w:rPr>
  </w:style>
  <w:style w:type="paragraph" w:styleId="7">
    <w:name w:val="Body Text Indent"/>
    <w:basedOn w:val="1"/>
    <w:next w:val="8"/>
    <w:qFormat/>
    <w:uiPriority w:val="0"/>
    <w:pPr>
      <w:spacing w:after="120"/>
      <w:ind w:left="420" w:leftChars="200"/>
    </w:pPr>
  </w:style>
  <w:style w:type="paragraph" w:styleId="8">
    <w:name w:val="envelope return"/>
    <w:basedOn w:val="1"/>
    <w:unhideWhenUsed/>
    <w:qFormat/>
    <w:uiPriority w:val="99"/>
    <w:pPr>
      <w:snapToGrid w:val="0"/>
    </w:pPr>
    <w:rPr>
      <w:rFonts w:ascii="Arial" w:hAnsi="Arial"/>
    </w:rPr>
  </w:style>
  <w:style w:type="paragraph" w:styleId="9">
    <w:name w:val="Date"/>
    <w:basedOn w:val="1"/>
    <w:next w:val="1"/>
    <w:link w:val="32"/>
    <w:semiHidden/>
    <w:unhideWhenUsed/>
    <w:qFormat/>
    <w:uiPriority w:val="99"/>
    <w:pPr>
      <w:ind w:left="100" w:leftChars="2500"/>
    </w:pPr>
  </w:style>
  <w:style w:type="paragraph" w:styleId="10">
    <w:name w:val="Balloon Text"/>
    <w:basedOn w:val="1"/>
    <w:link w:val="27"/>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line="360" w:lineRule="auto"/>
    </w:pPr>
    <w:rPr>
      <w:rFonts w:ascii="Times New Roman" w:hAnsi="Times New Roman" w:eastAsia="黑体"/>
      <w:sz w:val="28"/>
    </w:rPr>
  </w:style>
  <w:style w:type="paragraph" w:styleId="14">
    <w:name w:val="table of figures"/>
    <w:basedOn w:val="1"/>
    <w:next w:val="1"/>
    <w:semiHidden/>
    <w:unhideWhenUsed/>
    <w:qFormat/>
    <w:uiPriority w:val="99"/>
    <w:pPr>
      <w:ind w:left="200" w:leftChars="200" w:hanging="200" w:hangingChars="200"/>
    </w:pPr>
  </w:style>
  <w:style w:type="paragraph" w:styleId="15">
    <w:name w:val="toc 2"/>
    <w:basedOn w:val="1"/>
    <w:next w:val="1"/>
    <w:unhideWhenUsed/>
    <w:qFormat/>
    <w:uiPriority w:val="39"/>
    <w:pPr>
      <w:spacing w:line="360" w:lineRule="auto"/>
      <w:ind w:left="200" w:leftChars="200"/>
    </w:pPr>
    <w:rPr>
      <w:rFonts w:ascii="Times New Roman" w:hAnsi="Times New Roman" w:eastAsia="黑体"/>
      <w:sz w:val="28"/>
    </w:rPr>
  </w:style>
  <w:style w:type="paragraph" w:styleId="16">
    <w:name w:val="Normal (Web)"/>
    <w:basedOn w:val="1"/>
    <w:unhideWhenUsed/>
    <w:qFormat/>
    <w:uiPriority w:val="99"/>
    <w:rPr>
      <w:rFonts w:ascii="Times New Roman" w:hAnsi="Times New Roman"/>
      <w:sz w:val="24"/>
      <w:szCs w:val="24"/>
    </w:rPr>
  </w:style>
  <w:style w:type="paragraph" w:styleId="17">
    <w:name w:val="Title"/>
    <w:basedOn w:val="1"/>
    <w:next w:val="1"/>
    <w:link w:val="25"/>
    <w:qFormat/>
    <w:uiPriority w:val="10"/>
    <w:pPr>
      <w:spacing w:before="240" w:after="60"/>
      <w:jc w:val="center"/>
      <w:outlineLvl w:val="0"/>
    </w:pPr>
    <w:rPr>
      <w:rFonts w:ascii="Cambria" w:hAnsi="Cambria"/>
      <w:b/>
      <w:bCs/>
      <w:sz w:val="32"/>
      <w:szCs w:val="32"/>
    </w:rPr>
  </w:style>
  <w:style w:type="paragraph" w:styleId="18">
    <w:name w:val="Body Text First Indent 2"/>
    <w:basedOn w:val="7"/>
    <w:qFormat/>
    <w:uiPriority w:val="0"/>
    <w:pPr>
      <w:ind w:firstLine="420"/>
    </w:p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unhideWhenUsed/>
    <w:qFormat/>
    <w:uiPriority w:val="99"/>
    <w:rPr>
      <w:color w:val="0000FF"/>
      <w:u w:val="single"/>
    </w:rPr>
  </w:style>
  <w:style w:type="character" w:customStyle="1" w:styleId="23">
    <w:name w:val="页眉 字符"/>
    <w:link w:val="12"/>
    <w:qFormat/>
    <w:uiPriority w:val="99"/>
    <w:rPr>
      <w:sz w:val="18"/>
      <w:szCs w:val="18"/>
    </w:rPr>
  </w:style>
  <w:style w:type="character" w:customStyle="1" w:styleId="24">
    <w:name w:val="页脚 字符"/>
    <w:link w:val="11"/>
    <w:qFormat/>
    <w:uiPriority w:val="99"/>
    <w:rPr>
      <w:sz w:val="18"/>
      <w:szCs w:val="18"/>
    </w:rPr>
  </w:style>
  <w:style w:type="character" w:customStyle="1" w:styleId="25">
    <w:name w:val="标题 字符"/>
    <w:link w:val="17"/>
    <w:qFormat/>
    <w:uiPriority w:val="10"/>
    <w:rPr>
      <w:rFonts w:ascii="Cambria" w:hAnsi="Cambria" w:eastAsia="宋体" w:cs="Times New Roman"/>
      <w:b/>
      <w:bCs/>
      <w:sz w:val="32"/>
      <w:szCs w:val="32"/>
    </w:rPr>
  </w:style>
  <w:style w:type="paragraph" w:styleId="26">
    <w:name w:val="List Paragraph"/>
    <w:basedOn w:val="1"/>
    <w:qFormat/>
    <w:uiPriority w:val="34"/>
    <w:pPr>
      <w:ind w:firstLine="420" w:firstLineChars="200"/>
    </w:pPr>
  </w:style>
  <w:style w:type="character" w:customStyle="1" w:styleId="27">
    <w:name w:val="批注框文本 字符"/>
    <w:link w:val="10"/>
    <w:semiHidden/>
    <w:qFormat/>
    <w:uiPriority w:val="99"/>
    <w:rPr>
      <w:sz w:val="18"/>
      <w:szCs w:val="18"/>
    </w:rPr>
  </w:style>
  <w:style w:type="character" w:customStyle="1" w:styleId="28">
    <w:name w:val="标题 1 字符"/>
    <w:link w:val="3"/>
    <w:qFormat/>
    <w:uiPriority w:val="9"/>
    <w:rPr>
      <w:rFonts w:eastAsia="黑体"/>
      <w:bCs/>
      <w:kern w:val="44"/>
      <w:sz w:val="36"/>
      <w:szCs w:val="44"/>
    </w:rPr>
  </w:style>
  <w:style w:type="character" w:customStyle="1" w:styleId="29">
    <w:name w:val="标题 2 字符"/>
    <w:link w:val="4"/>
    <w:qFormat/>
    <w:uiPriority w:val="9"/>
    <w:rPr>
      <w:rFonts w:ascii="黑体" w:hAnsi="Cambria" w:eastAsia="黑体" w:cs="Times New Roman"/>
      <w:bCs/>
      <w:kern w:val="2"/>
      <w:sz w:val="32"/>
      <w:szCs w:val="32"/>
    </w:rPr>
  </w:style>
  <w:style w:type="character" w:customStyle="1" w:styleId="30">
    <w:name w:val="标题 3 字符"/>
    <w:link w:val="5"/>
    <w:qFormat/>
    <w:uiPriority w:val="9"/>
    <w:rPr>
      <w:b/>
      <w:bCs/>
      <w:sz w:val="32"/>
      <w:szCs w:val="32"/>
    </w:rPr>
  </w:style>
  <w:style w:type="paragraph" w:customStyle="1" w:styleId="31">
    <w:name w:val="TOC 标题1"/>
    <w:basedOn w:val="3"/>
    <w:next w:val="1"/>
    <w:semiHidden/>
    <w:unhideWhenUsed/>
    <w:qFormat/>
    <w:uiPriority w:val="39"/>
    <w:pPr>
      <w:widowControl/>
      <w:spacing w:before="480" w:after="0" w:line="276" w:lineRule="auto"/>
      <w:jc w:val="left"/>
      <w:outlineLvl w:val="9"/>
    </w:pPr>
    <w:rPr>
      <w:rFonts w:ascii="Cambria" w:hAnsi="Cambria" w:eastAsia="宋体"/>
      <w:color w:val="365F91"/>
      <w:kern w:val="0"/>
      <w:sz w:val="28"/>
      <w:szCs w:val="28"/>
    </w:rPr>
  </w:style>
  <w:style w:type="character" w:customStyle="1" w:styleId="32">
    <w:name w:val="日期 字符"/>
    <w:basedOn w:val="21"/>
    <w:link w:val="9"/>
    <w:semiHidden/>
    <w:qFormat/>
    <w:uiPriority w:val="99"/>
  </w:style>
  <w:style w:type="character" w:customStyle="1" w:styleId="33">
    <w:name w:val="未处理的提及1"/>
    <w:semiHidden/>
    <w:unhideWhenUsed/>
    <w:qFormat/>
    <w:uiPriority w:val="99"/>
    <w:rPr>
      <w:color w:val="605E5C"/>
      <w:shd w:val="clear" w:color="auto" w:fill="E1DFDD"/>
    </w:rPr>
  </w:style>
  <w:style w:type="paragraph" w:customStyle="1" w:styleId="34">
    <w:name w:val="正"/>
    <w:basedOn w:val="1"/>
    <w:link w:val="36"/>
    <w:qFormat/>
    <w:uiPriority w:val="0"/>
    <w:pPr>
      <w:spacing w:line="360" w:lineRule="auto"/>
      <w:ind w:firstLine="560" w:firstLineChars="200"/>
    </w:pPr>
    <w:rPr>
      <w:rFonts w:ascii="仿宋" w:hAnsi="仿宋" w:eastAsia="仿宋"/>
      <w:sz w:val="28"/>
      <w:szCs w:val="28"/>
    </w:rPr>
  </w:style>
  <w:style w:type="paragraph" w:customStyle="1" w:styleId="35">
    <w:name w:val="图题"/>
    <w:basedOn w:val="6"/>
    <w:link w:val="38"/>
    <w:qFormat/>
    <w:uiPriority w:val="0"/>
    <w:pPr>
      <w:spacing w:line="360" w:lineRule="auto"/>
      <w:jc w:val="center"/>
    </w:pPr>
    <w:rPr>
      <w:rFonts w:ascii="Times New Roman" w:hAnsi="Times New Roman" w:eastAsia="仿宋"/>
      <w:b/>
      <w:sz w:val="21"/>
      <w:szCs w:val="24"/>
    </w:rPr>
  </w:style>
  <w:style w:type="character" w:customStyle="1" w:styleId="36">
    <w:name w:val="正 字符"/>
    <w:link w:val="34"/>
    <w:qFormat/>
    <w:uiPriority w:val="0"/>
    <w:rPr>
      <w:rFonts w:ascii="仿宋" w:hAnsi="仿宋" w:eastAsia="仿宋"/>
      <w:kern w:val="2"/>
      <w:sz w:val="28"/>
      <w:szCs w:val="28"/>
    </w:rPr>
  </w:style>
  <w:style w:type="character" w:customStyle="1" w:styleId="37">
    <w:name w:val="题注 字符"/>
    <w:link w:val="6"/>
    <w:qFormat/>
    <w:uiPriority w:val="35"/>
    <w:rPr>
      <w:rFonts w:ascii="Cambria" w:hAnsi="Cambria" w:eastAsia="黑体" w:cs="Times New Roman"/>
      <w:kern w:val="2"/>
    </w:rPr>
  </w:style>
  <w:style w:type="character" w:customStyle="1" w:styleId="38">
    <w:name w:val="图题 字符"/>
    <w:link w:val="35"/>
    <w:qFormat/>
    <w:uiPriority w:val="0"/>
    <w:rPr>
      <w:rFonts w:ascii="Times New Roman" w:hAnsi="Times New Roman" w:eastAsia="仿宋" w:cs="Times New Roman"/>
      <w:b/>
      <w:kern w:val="2"/>
      <w:sz w:val="21"/>
      <w:szCs w:val="24"/>
    </w:rPr>
  </w:style>
  <w:style w:type="paragraph" w:customStyle="1" w:styleId="39">
    <w:name w:val="图片"/>
    <w:basedOn w:val="1"/>
    <w:link w:val="40"/>
    <w:qFormat/>
    <w:uiPriority w:val="0"/>
    <w:pPr>
      <w:jc w:val="center"/>
    </w:pPr>
  </w:style>
  <w:style w:type="character" w:customStyle="1" w:styleId="40">
    <w:name w:val="图片 字符"/>
    <w:link w:val="39"/>
    <w:qFormat/>
    <w:uiPriority w:val="0"/>
    <w:rPr>
      <w:kern w:val="2"/>
      <w:sz w:val="21"/>
      <w:szCs w:val="22"/>
    </w:rPr>
  </w:style>
  <w:style w:type="character" w:customStyle="1" w:styleId="41">
    <w:name w:val="normal"/>
    <w:basedOn w:val="21"/>
    <w:qFormat/>
    <w:uiPriority w:val="0"/>
    <w:rPr>
      <w:color w:val="FFFFFF"/>
      <w:shd w:val="clear" w:fill="000000"/>
    </w:rPr>
  </w:style>
  <w:style w:type="character" w:customStyle="1" w:styleId="42">
    <w:name w:val="cur"/>
    <w:basedOn w:val="21"/>
    <w:qFormat/>
    <w:uiPriority w:val="0"/>
    <w:rPr>
      <w:color w:val="FFFFFF"/>
      <w:shd w:val="clear" w:fill="CE0609"/>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50B0C-0C7B-4D99-9588-2C0C655ABA9F}">
  <ds:schemaRefs/>
</ds:datastoreItem>
</file>

<file path=docProps/app.xml><?xml version="1.0" encoding="utf-8"?>
<Properties xmlns="http://schemas.openxmlformats.org/officeDocument/2006/extended-properties" xmlns:vt="http://schemas.openxmlformats.org/officeDocument/2006/docPropsVTypes">
  <Template>Normal</Template>
  <Pages>42</Pages>
  <Words>3386</Words>
  <Characters>19303</Characters>
  <Lines>160</Lines>
  <Paragraphs>45</Paragraphs>
  <TotalTime>19</TotalTime>
  <ScaleCrop>false</ScaleCrop>
  <LinksUpToDate>false</LinksUpToDate>
  <CharactersWithSpaces>22644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2020-02-21T03:11:00Z</dcterms:created>
  <dc:creator>PC</dc:creator>
  <cp:lastModifiedBy>Merku</cp:lastModifiedBy>
  <cp:lastPrinted>2019-01-24T01:29:00Z</cp:lastPrinted>
  <dcterms:modified xsi:type="dcterms:W3CDTF">2022-02-15T09:32:22Z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A7ED9D538063495AAE20D701085535BC</vt:lpwstr>
  </property>
</Properties>
</file>